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442C">
      <w:pPr>
        <w:spacing w:before="100" w:line="224" w:lineRule="auto"/>
        <w:ind w:left="9"/>
        <w:rPr>
          <w:rFonts w:ascii="黑体" w:hAnsi="黑体" w:eastAsia="黑体" w:cs="黑体"/>
          <w:b w:val="0"/>
          <w:bCs w:val="0"/>
          <w:sz w:val="31"/>
          <w:szCs w:val="31"/>
        </w:rPr>
      </w:pPr>
      <w:r>
        <w:rPr>
          <w:rFonts w:ascii="黑体" w:hAnsi="黑体" w:eastAsia="黑体" w:cs="黑体"/>
          <w:b w:val="0"/>
          <w:bCs w:val="0"/>
          <w:spacing w:val="23"/>
          <w:sz w:val="31"/>
          <w:szCs w:val="31"/>
        </w:rPr>
        <w:t>附件2:</w:t>
      </w:r>
    </w:p>
    <w:p w14:paraId="41AA9021">
      <w:pPr>
        <w:spacing w:before="173" w:line="219" w:lineRule="auto"/>
        <w:ind w:left="1101"/>
        <w:rPr>
          <w:rFonts w:ascii="宋体" w:hAnsi="宋体" w:eastAsia="宋体" w:cs="宋体"/>
          <w:b w:val="0"/>
          <w:bCs w:val="0"/>
          <w:sz w:val="43"/>
          <w:szCs w:val="43"/>
        </w:rPr>
      </w:pPr>
      <w:bookmarkStart w:id="0" w:name="_GoBack"/>
      <w:r>
        <w:rPr>
          <w:rFonts w:hint="eastAsia" w:ascii="宋体" w:hAnsi="宋体" w:eastAsia="宋体" w:cs="宋体"/>
          <w:b w:val="0"/>
          <w:bCs w:val="0"/>
          <w:spacing w:val="2"/>
          <w:sz w:val="43"/>
          <w:szCs w:val="43"/>
          <w:lang w:val="en-US" w:eastAsia="zh-CN"/>
        </w:rPr>
        <w:t>方山县</w:t>
      </w:r>
      <w:r>
        <w:rPr>
          <w:rFonts w:ascii="宋体" w:hAnsi="宋体" w:eastAsia="宋体" w:cs="宋体"/>
          <w:b w:val="0"/>
          <w:bCs w:val="0"/>
          <w:spacing w:val="2"/>
          <w:sz w:val="43"/>
          <w:szCs w:val="43"/>
        </w:rPr>
        <w:t>电动自行车安全隐患全链条整治问题、措施、责任清单</w:t>
      </w:r>
    </w:p>
    <w:bookmarkEnd w:id="0"/>
    <w:p w14:paraId="53B53FDF">
      <w:pPr>
        <w:pStyle w:val="2"/>
        <w:spacing w:before="123" w:line="232" w:lineRule="auto"/>
        <w:ind w:left="124"/>
        <w:rPr>
          <w:sz w:val="23"/>
          <w:szCs w:val="23"/>
        </w:rPr>
      </w:pPr>
      <w:r>
        <w:rPr>
          <w:spacing w:val="1"/>
          <w:position w:val="2"/>
          <w:sz w:val="23"/>
          <w:szCs w:val="23"/>
        </w:rPr>
        <w:t>填报单位(盖章):</w:t>
      </w:r>
      <w:r>
        <w:rPr>
          <w:spacing w:val="1"/>
          <w:sz w:val="23"/>
          <w:szCs w:val="23"/>
        </w:rPr>
        <w:t>填报人：</w:t>
      </w:r>
      <w:r>
        <w:rPr>
          <w:spacing w:val="1"/>
          <w:position w:val="-4"/>
          <w:sz w:val="23"/>
          <w:szCs w:val="23"/>
        </w:rPr>
        <w:t>填报日期：</w:t>
      </w:r>
    </w:p>
    <w:p w14:paraId="75D2AFB5">
      <w:pPr>
        <w:spacing w:line="100" w:lineRule="exact"/>
      </w:pPr>
    </w:p>
    <w:tbl>
      <w:tblPr>
        <w:tblStyle w:val="7"/>
        <w:tblW w:w="13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79"/>
        <w:gridCol w:w="1489"/>
        <w:gridCol w:w="1019"/>
        <w:gridCol w:w="1019"/>
        <w:gridCol w:w="2149"/>
        <w:gridCol w:w="1599"/>
        <w:gridCol w:w="929"/>
        <w:gridCol w:w="1019"/>
        <w:gridCol w:w="1259"/>
        <w:gridCol w:w="934"/>
      </w:tblGrid>
      <w:tr w14:paraId="7707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684" w:type="dxa"/>
            <w:vAlign w:val="top"/>
          </w:tcPr>
          <w:p w14:paraId="03E75083">
            <w:pPr>
              <w:spacing w:line="474" w:lineRule="auto"/>
              <w:rPr>
                <w:rFonts w:ascii="Arial"/>
                <w:sz w:val="21"/>
              </w:rPr>
            </w:pPr>
          </w:p>
          <w:p w14:paraId="517ADCDD">
            <w:pPr>
              <w:pStyle w:val="6"/>
              <w:spacing w:before="75" w:line="221" w:lineRule="auto"/>
              <w:ind w:left="88"/>
            </w:pPr>
            <w:r>
              <w:rPr>
                <w:b/>
                <w:bCs/>
                <w:spacing w:val="-5"/>
              </w:rPr>
              <w:t>序号</w:t>
            </w:r>
          </w:p>
        </w:tc>
        <w:tc>
          <w:tcPr>
            <w:tcW w:w="1579" w:type="dxa"/>
            <w:vAlign w:val="top"/>
          </w:tcPr>
          <w:p w14:paraId="66A961FF">
            <w:pPr>
              <w:spacing w:line="474" w:lineRule="auto"/>
              <w:rPr>
                <w:rFonts w:ascii="Arial"/>
                <w:sz w:val="21"/>
              </w:rPr>
            </w:pPr>
          </w:p>
          <w:p w14:paraId="65039CCF">
            <w:pPr>
              <w:pStyle w:val="6"/>
              <w:spacing w:before="74" w:line="220" w:lineRule="auto"/>
              <w:ind w:left="294"/>
            </w:pPr>
            <w:r>
              <w:rPr>
                <w:b/>
                <w:bCs/>
                <w:spacing w:val="-4"/>
              </w:rPr>
              <w:t>场所名称</w:t>
            </w:r>
          </w:p>
        </w:tc>
        <w:tc>
          <w:tcPr>
            <w:tcW w:w="1489" w:type="dxa"/>
            <w:vAlign w:val="top"/>
          </w:tcPr>
          <w:p w14:paraId="0B6DFF4B">
            <w:pPr>
              <w:spacing w:line="242" w:lineRule="auto"/>
              <w:rPr>
                <w:rFonts w:ascii="Arial"/>
                <w:sz w:val="21"/>
              </w:rPr>
            </w:pPr>
          </w:p>
          <w:p w14:paraId="3D31B93E">
            <w:pPr>
              <w:spacing w:line="242" w:lineRule="auto"/>
              <w:rPr>
                <w:rFonts w:ascii="Arial"/>
                <w:sz w:val="21"/>
              </w:rPr>
            </w:pPr>
          </w:p>
          <w:p w14:paraId="1641B220">
            <w:pPr>
              <w:pStyle w:val="6"/>
              <w:spacing w:before="75" w:line="229" w:lineRule="auto"/>
              <w:ind w:left="525"/>
            </w:pPr>
            <w:r>
              <w:rPr>
                <w:b/>
                <w:bCs/>
                <w:spacing w:val="-5"/>
              </w:rPr>
              <w:t>地址</w:t>
            </w:r>
          </w:p>
        </w:tc>
        <w:tc>
          <w:tcPr>
            <w:tcW w:w="1019" w:type="dxa"/>
            <w:vAlign w:val="top"/>
          </w:tcPr>
          <w:p w14:paraId="5A44ECAB">
            <w:pPr>
              <w:spacing w:line="307" w:lineRule="auto"/>
              <w:rPr>
                <w:rFonts w:ascii="Arial"/>
                <w:sz w:val="21"/>
              </w:rPr>
            </w:pPr>
          </w:p>
          <w:p w14:paraId="7951B0F4">
            <w:pPr>
              <w:pStyle w:val="6"/>
              <w:spacing w:before="74" w:line="265" w:lineRule="auto"/>
              <w:ind w:left="156" w:right="159" w:firstLine="119"/>
            </w:pPr>
            <w:r>
              <w:rPr>
                <w:b/>
                <w:bCs/>
                <w:spacing w:val="-8"/>
              </w:rPr>
              <w:t>主要</w:t>
            </w:r>
            <w:r>
              <w:rPr>
                <w:b/>
                <w:bCs/>
                <w:spacing w:val="-2"/>
              </w:rPr>
              <w:t>负责人</w:t>
            </w:r>
          </w:p>
        </w:tc>
        <w:tc>
          <w:tcPr>
            <w:tcW w:w="1019" w:type="dxa"/>
            <w:vAlign w:val="top"/>
          </w:tcPr>
          <w:p w14:paraId="24DD950A">
            <w:pPr>
              <w:spacing w:line="307" w:lineRule="auto"/>
              <w:rPr>
                <w:rFonts w:ascii="Arial"/>
                <w:sz w:val="21"/>
              </w:rPr>
            </w:pPr>
          </w:p>
          <w:p w14:paraId="0BB1F813">
            <w:pPr>
              <w:pStyle w:val="6"/>
              <w:spacing w:before="74" w:line="389" w:lineRule="exact"/>
              <w:ind w:left="277"/>
            </w:pPr>
            <w:r>
              <w:rPr>
                <w:b/>
                <w:bCs/>
                <w:spacing w:val="5"/>
                <w:position w:val="11"/>
              </w:rPr>
              <w:t>联系</w:t>
            </w:r>
          </w:p>
          <w:p w14:paraId="08319928">
            <w:pPr>
              <w:pStyle w:val="6"/>
              <w:spacing w:line="220" w:lineRule="auto"/>
              <w:ind w:left="277"/>
            </w:pPr>
            <w:r>
              <w:rPr>
                <w:b/>
                <w:bCs/>
                <w:spacing w:val="-5"/>
              </w:rPr>
              <w:t>方式</w:t>
            </w:r>
          </w:p>
        </w:tc>
        <w:tc>
          <w:tcPr>
            <w:tcW w:w="2149" w:type="dxa"/>
            <w:vAlign w:val="top"/>
          </w:tcPr>
          <w:p w14:paraId="03C65080">
            <w:pPr>
              <w:spacing w:line="473" w:lineRule="auto"/>
              <w:rPr>
                <w:rFonts w:ascii="Arial"/>
                <w:sz w:val="21"/>
              </w:rPr>
            </w:pPr>
          </w:p>
          <w:p w14:paraId="456A966C">
            <w:pPr>
              <w:pStyle w:val="6"/>
              <w:spacing w:before="75" w:line="219" w:lineRule="auto"/>
              <w:ind w:left="308"/>
            </w:pPr>
            <w:r>
              <w:rPr>
                <w:b/>
                <w:bCs/>
                <w:spacing w:val="-4"/>
              </w:rPr>
              <w:t>存在的隐患问题</w:t>
            </w:r>
          </w:p>
        </w:tc>
        <w:tc>
          <w:tcPr>
            <w:tcW w:w="1599" w:type="dxa"/>
            <w:vAlign w:val="top"/>
          </w:tcPr>
          <w:p w14:paraId="2FF6FF20">
            <w:pPr>
              <w:spacing w:line="473" w:lineRule="auto"/>
              <w:rPr>
                <w:rFonts w:ascii="Arial"/>
                <w:sz w:val="21"/>
              </w:rPr>
            </w:pPr>
          </w:p>
          <w:p w14:paraId="0E775C0B">
            <w:pPr>
              <w:pStyle w:val="6"/>
              <w:spacing w:before="75" w:line="219" w:lineRule="auto"/>
              <w:ind w:left="309"/>
            </w:pPr>
            <w:r>
              <w:rPr>
                <w:b/>
                <w:bCs/>
                <w:spacing w:val="-5"/>
              </w:rPr>
              <w:t>整改措施</w:t>
            </w:r>
          </w:p>
        </w:tc>
        <w:tc>
          <w:tcPr>
            <w:tcW w:w="929" w:type="dxa"/>
            <w:vAlign w:val="top"/>
          </w:tcPr>
          <w:p w14:paraId="7CE83807">
            <w:pPr>
              <w:spacing w:line="304" w:lineRule="auto"/>
              <w:rPr>
                <w:rFonts w:ascii="Arial"/>
                <w:sz w:val="21"/>
              </w:rPr>
            </w:pPr>
          </w:p>
          <w:p w14:paraId="237B9F2D">
            <w:pPr>
              <w:pStyle w:val="6"/>
              <w:spacing w:before="75" w:line="399" w:lineRule="exact"/>
              <w:ind w:left="230"/>
            </w:pPr>
            <w:r>
              <w:rPr>
                <w:b/>
                <w:bCs/>
                <w:spacing w:val="-5"/>
                <w:position w:val="12"/>
              </w:rPr>
              <w:t>整改</w:t>
            </w:r>
          </w:p>
          <w:p w14:paraId="0DDCB3BE">
            <w:pPr>
              <w:pStyle w:val="6"/>
              <w:spacing w:line="219" w:lineRule="auto"/>
              <w:ind w:left="120"/>
            </w:pPr>
            <w:r>
              <w:rPr>
                <w:b/>
                <w:bCs/>
                <w:spacing w:val="-2"/>
              </w:rPr>
              <w:t>责任人</w:t>
            </w:r>
          </w:p>
        </w:tc>
        <w:tc>
          <w:tcPr>
            <w:tcW w:w="1019" w:type="dxa"/>
            <w:vAlign w:val="top"/>
          </w:tcPr>
          <w:p w14:paraId="00225857">
            <w:pPr>
              <w:spacing w:line="473" w:lineRule="auto"/>
              <w:rPr>
                <w:rFonts w:ascii="Arial"/>
                <w:sz w:val="21"/>
              </w:rPr>
            </w:pPr>
          </w:p>
          <w:p w14:paraId="13BA1F0D">
            <w:pPr>
              <w:pStyle w:val="6"/>
              <w:spacing w:before="75" w:line="219" w:lineRule="auto"/>
              <w:ind w:left="41"/>
            </w:pPr>
            <w:r>
              <w:rPr>
                <w:b/>
                <w:bCs/>
                <w:spacing w:val="-5"/>
              </w:rPr>
              <w:t>整改时限</w:t>
            </w:r>
          </w:p>
        </w:tc>
        <w:tc>
          <w:tcPr>
            <w:tcW w:w="1259" w:type="dxa"/>
            <w:vAlign w:val="top"/>
          </w:tcPr>
          <w:p w14:paraId="717DF5DA">
            <w:pPr>
              <w:spacing w:line="304" w:lineRule="auto"/>
              <w:rPr>
                <w:rFonts w:ascii="Arial"/>
                <w:sz w:val="21"/>
              </w:rPr>
            </w:pPr>
          </w:p>
          <w:p w14:paraId="58512CD1">
            <w:pPr>
              <w:pStyle w:val="6"/>
              <w:spacing w:before="75" w:line="219" w:lineRule="auto"/>
              <w:ind w:left="402"/>
            </w:pPr>
            <w:r>
              <w:rPr>
                <w:b/>
                <w:bCs/>
                <w:spacing w:val="-6"/>
              </w:rPr>
              <w:t>督改</w:t>
            </w:r>
          </w:p>
          <w:p w14:paraId="10768BB3">
            <w:pPr>
              <w:pStyle w:val="6"/>
              <w:spacing w:before="147" w:line="219" w:lineRule="auto"/>
              <w:ind w:left="172"/>
            </w:pPr>
            <w:r>
              <w:rPr>
                <w:b/>
                <w:bCs/>
                <w:spacing w:val="-6"/>
              </w:rPr>
              <w:t>责任单位</w:t>
            </w:r>
          </w:p>
        </w:tc>
        <w:tc>
          <w:tcPr>
            <w:tcW w:w="934" w:type="dxa"/>
            <w:vAlign w:val="top"/>
          </w:tcPr>
          <w:p w14:paraId="694CDD91">
            <w:pPr>
              <w:spacing w:line="304" w:lineRule="auto"/>
              <w:rPr>
                <w:rFonts w:ascii="Arial"/>
                <w:sz w:val="21"/>
              </w:rPr>
            </w:pPr>
          </w:p>
          <w:p w14:paraId="70701DE2">
            <w:pPr>
              <w:pStyle w:val="6"/>
              <w:spacing w:before="75" w:line="399" w:lineRule="exact"/>
              <w:ind w:left="233"/>
            </w:pPr>
            <w:r>
              <w:rPr>
                <w:b/>
                <w:bCs/>
                <w:spacing w:val="-6"/>
                <w:position w:val="12"/>
              </w:rPr>
              <w:t>督改</w:t>
            </w:r>
          </w:p>
          <w:p w14:paraId="368BD543">
            <w:pPr>
              <w:pStyle w:val="6"/>
              <w:spacing w:line="219" w:lineRule="auto"/>
              <w:ind w:left="123"/>
            </w:pPr>
            <w:r>
              <w:rPr>
                <w:b/>
                <w:bCs/>
                <w:spacing w:val="-2"/>
              </w:rPr>
              <w:t>责任人</w:t>
            </w:r>
          </w:p>
        </w:tc>
      </w:tr>
      <w:tr w14:paraId="6B14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4" w:type="dxa"/>
            <w:vAlign w:val="top"/>
          </w:tcPr>
          <w:p w14:paraId="54CE474D">
            <w:pPr>
              <w:rPr>
                <w:rFonts w:ascii="Arial"/>
                <w:sz w:val="21"/>
              </w:rPr>
            </w:pPr>
          </w:p>
        </w:tc>
        <w:tc>
          <w:tcPr>
            <w:tcW w:w="1579" w:type="dxa"/>
            <w:vAlign w:val="top"/>
          </w:tcPr>
          <w:p w14:paraId="068A9038">
            <w:pPr>
              <w:rPr>
                <w:rFonts w:ascii="Arial"/>
                <w:sz w:val="21"/>
              </w:rPr>
            </w:pPr>
          </w:p>
        </w:tc>
        <w:tc>
          <w:tcPr>
            <w:tcW w:w="1489" w:type="dxa"/>
            <w:vAlign w:val="top"/>
          </w:tcPr>
          <w:p w14:paraId="33CED8D8">
            <w:pPr>
              <w:rPr>
                <w:rFonts w:ascii="Arial"/>
                <w:sz w:val="21"/>
              </w:rPr>
            </w:pPr>
          </w:p>
        </w:tc>
        <w:tc>
          <w:tcPr>
            <w:tcW w:w="1019" w:type="dxa"/>
            <w:vAlign w:val="top"/>
          </w:tcPr>
          <w:p w14:paraId="6338AC2F">
            <w:pPr>
              <w:rPr>
                <w:rFonts w:ascii="Arial"/>
                <w:sz w:val="21"/>
              </w:rPr>
            </w:pPr>
          </w:p>
        </w:tc>
        <w:tc>
          <w:tcPr>
            <w:tcW w:w="1019" w:type="dxa"/>
            <w:vAlign w:val="top"/>
          </w:tcPr>
          <w:p w14:paraId="7A46584B">
            <w:pPr>
              <w:rPr>
                <w:rFonts w:ascii="Arial"/>
                <w:sz w:val="21"/>
              </w:rPr>
            </w:pPr>
          </w:p>
        </w:tc>
        <w:tc>
          <w:tcPr>
            <w:tcW w:w="2149" w:type="dxa"/>
            <w:vAlign w:val="top"/>
          </w:tcPr>
          <w:p w14:paraId="45803BAD">
            <w:pPr>
              <w:rPr>
                <w:rFonts w:ascii="Arial"/>
                <w:sz w:val="21"/>
              </w:rPr>
            </w:pPr>
          </w:p>
        </w:tc>
        <w:tc>
          <w:tcPr>
            <w:tcW w:w="1599" w:type="dxa"/>
            <w:vAlign w:val="top"/>
          </w:tcPr>
          <w:p w14:paraId="62FB0E28">
            <w:pPr>
              <w:rPr>
                <w:rFonts w:ascii="Arial"/>
                <w:sz w:val="21"/>
              </w:rPr>
            </w:pPr>
          </w:p>
        </w:tc>
        <w:tc>
          <w:tcPr>
            <w:tcW w:w="929" w:type="dxa"/>
            <w:vAlign w:val="top"/>
          </w:tcPr>
          <w:p w14:paraId="644C2DB9">
            <w:pPr>
              <w:rPr>
                <w:rFonts w:ascii="Arial"/>
                <w:sz w:val="21"/>
              </w:rPr>
            </w:pPr>
          </w:p>
        </w:tc>
        <w:tc>
          <w:tcPr>
            <w:tcW w:w="1019" w:type="dxa"/>
            <w:vAlign w:val="top"/>
          </w:tcPr>
          <w:p w14:paraId="0D26DF36">
            <w:pPr>
              <w:rPr>
                <w:rFonts w:ascii="Arial"/>
                <w:sz w:val="21"/>
              </w:rPr>
            </w:pPr>
          </w:p>
        </w:tc>
        <w:tc>
          <w:tcPr>
            <w:tcW w:w="1259" w:type="dxa"/>
            <w:vAlign w:val="top"/>
          </w:tcPr>
          <w:p w14:paraId="680EF431">
            <w:pPr>
              <w:rPr>
                <w:rFonts w:ascii="Arial"/>
                <w:sz w:val="21"/>
              </w:rPr>
            </w:pPr>
          </w:p>
        </w:tc>
        <w:tc>
          <w:tcPr>
            <w:tcW w:w="934" w:type="dxa"/>
            <w:vAlign w:val="top"/>
          </w:tcPr>
          <w:p w14:paraId="625797C1">
            <w:pPr>
              <w:rPr>
                <w:rFonts w:ascii="Arial"/>
                <w:sz w:val="21"/>
              </w:rPr>
            </w:pPr>
          </w:p>
        </w:tc>
      </w:tr>
      <w:tr w14:paraId="1A87D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4" w:type="dxa"/>
            <w:vAlign w:val="top"/>
          </w:tcPr>
          <w:p w14:paraId="0F4657F9">
            <w:pPr>
              <w:rPr>
                <w:rFonts w:ascii="Arial"/>
                <w:sz w:val="21"/>
              </w:rPr>
            </w:pPr>
          </w:p>
        </w:tc>
        <w:tc>
          <w:tcPr>
            <w:tcW w:w="1579" w:type="dxa"/>
            <w:vAlign w:val="top"/>
          </w:tcPr>
          <w:p w14:paraId="48796EB6">
            <w:pPr>
              <w:rPr>
                <w:rFonts w:ascii="Arial"/>
                <w:sz w:val="21"/>
              </w:rPr>
            </w:pPr>
          </w:p>
        </w:tc>
        <w:tc>
          <w:tcPr>
            <w:tcW w:w="1489" w:type="dxa"/>
            <w:vAlign w:val="top"/>
          </w:tcPr>
          <w:p w14:paraId="53AABDD1">
            <w:pPr>
              <w:rPr>
                <w:rFonts w:ascii="Arial"/>
                <w:sz w:val="21"/>
              </w:rPr>
            </w:pPr>
          </w:p>
        </w:tc>
        <w:tc>
          <w:tcPr>
            <w:tcW w:w="1019" w:type="dxa"/>
            <w:vAlign w:val="top"/>
          </w:tcPr>
          <w:p w14:paraId="4688AA25">
            <w:pPr>
              <w:rPr>
                <w:rFonts w:ascii="Arial"/>
                <w:sz w:val="21"/>
              </w:rPr>
            </w:pPr>
          </w:p>
        </w:tc>
        <w:tc>
          <w:tcPr>
            <w:tcW w:w="1019" w:type="dxa"/>
            <w:vAlign w:val="top"/>
          </w:tcPr>
          <w:p w14:paraId="49215F25">
            <w:pPr>
              <w:rPr>
                <w:rFonts w:ascii="Arial"/>
                <w:sz w:val="21"/>
              </w:rPr>
            </w:pPr>
          </w:p>
        </w:tc>
        <w:tc>
          <w:tcPr>
            <w:tcW w:w="2149" w:type="dxa"/>
            <w:vAlign w:val="top"/>
          </w:tcPr>
          <w:p w14:paraId="4A629AD6">
            <w:pPr>
              <w:rPr>
                <w:rFonts w:ascii="Arial"/>
                <w:sz w:val="21"/>
              </w:rPr>
            </w:pPr>
          </w:p>
        </w:tc>
        <w:tc>
          <w:tcPr>
            <w:tcW w:w="1599" w:type="dxa"/>
            <w:vAlign w:val="top"/>
          </w:tcPr>
          <w:p w14:paraId="0305702B">
            <w:pPr>
              <w:rPr>
                <w:rFonts w:ascii="Arial"/>
                <w:sz w:val="21"/>
              </w:rPr>
            </w:pPr>
          </w:p>
        </w:tc>
        <w:tc>
          <w:tcPr>
            <w:tcW w:w="929" w:type="dxa"/>
            <w:vAlign w:val="top"/>
          </w:tcPr>
          <w:p w14:paraId="6345EEED">
            <w:pPr>
              <w:rPr>
                <w:rFonts w:ascii="Arial"/>
                <w:sz w:val="21"/>
              </w:rPr>
            </w:pPr>
          </w:p>
        </w:tc>
        <w:tc>
          <w:tcPr>
            <w:tcW w:w="1019" w:type="dxa"/>
            <w:vAlign w:val="top"/>
          </w:tcPr>
          <w:p w14:paraId="4E1C3A38">
            <w:pPr>
              <w:rPr>
                <w:rFonts w:ascii="Arial"/>
                <w:sz w:val="21"/>
              </w:rPr>
            </w:pPr>
          </w:p>
        </w:tc>
        <w:tc>
          <w:tcPr>
            <w:tcW w:w="1259" w:type="dxa"/>
            <w:vAlign w:val="top"/>
          </w:tcPr>
          <w:p w14:paraId="6ED38FA9">
            <w:pPr>
              <w:rPr>
                <w:rFonts w:ascii="Arial"/>
                <w:sz w:val="21"/>
              </w:rPr>
            </w:pPr>
          </w:p>
        </w:tc>
        <w:tc>
          <w:tcPr>
            <w:tcW w:w="934" w:type="dxa"/>
            <w:vAlign w:val="top"/>
          </w:tcPr>
          <w:p w14:paraId="1EFBF80D">
            <w:pPr>
              <w:rPr>
                <w:rFonts w:ascii="Arial"/>
                <w:sz w:val="21"/>
              </w:rPr>
            </w:pPr>
          </w:p>
        </w:tc>
      </w:tr>
      <w:tr w14:paraId="60B8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84" w:type="dxa"/>
            <w:vAlign w:val="top"/>
          </w:tcPr>
          <w:p w14:paraId="032E64E1">
            <w:pPr>
              <w:rPr>
                <w:rFonts w:ascii="Arial"/>
                <w:sz w:val="21"/>
              </w:rPr>
            </w:pPr>
          </w:p>
        </w:tc>
        <w:tc>
          <w:tcPr>
            <w:tcW w:w="1579" w:type="dxa"/>
            <w:vAlign w:val="top"/>
          </w:tcPr>
          <w:p w14:paraId="055085C8">
            <w:pPr>
              <w:rPr>
                <w:rFonts w:ascii="Arial"/>
                <w:sz w:val="21"/>
              </w:rPr>
            </w:pPr>
          </w:p>
        </w:tc>
        <w:tc>
          <w:tcPr>
            <w:tcW w:w="1489" w:type="dxa"/>
            <w:vAlign w:val="top"/>
          </w:tcPr>
          <w:p w14:paraId="26DD9208">
            <w:pPr>
              <w:rPr>
                <w:rFonts w:ascii="Arial"/>
                <w:sz w:val="21"/>
              </w:rPr>
            </w:pPr>
          </w:p>
        </w:tc>
        <w:tc>
          <w:tcPr>
            <w:tcW w:w="1019" w:type="dxa"/>
            <w:vAlign w:val="top"/>
          </w:tcPr>
          <w:p w14:paraId="5D9E1400">
            <w:pPr>
              <w:rPr>
                <w:rFonts w:ascii="Arial"/>
                <w:sz w:val="21"/>
              </w:rPr>
            </w:pPr>
          </w:p>
        </w:tc>
        <w:tc>
          <w:tcPr>
            <w:tcW w:w="1019" w:type="dxa"/>
            <w:vAlign w:val="top"/>
          </w:tcPr>
          <w:p w14:paraId="45DBF1A3">
            <w:pPr>
              <w:rPr>
                <w:rFonts w:ascii="Arial"/>
                <w:sz w:val="21"/>
              </w:rPr>
            </w:pPr>
          </w:p>
        </w:tc>
        <w:tc>
          <w:tcPr>
            <w:tcW w:w="2149" w:type="dxa"/>
            <w:vAlign w:val="top"/>
          </w:tcPr>
          <w:p w14:paraId="32BB2D78">
            <w:pPr>
              <w:rPr>
                <w:rFonts w:ascii="Arial"/>
                <w:sz w:val="21"/>
              </w:rPr>
            </w:pPr>
          </w:p>
        </w:tc>
        <w:tc>
          <w:tcPr>
            <w:tcW w:w="1599" w:type="dxa"/>
            <w:vAlign w:val="top"/>
          </w:tcPr>
          <w:p w14:paraId="3CEA5FCF">
            <w:pPr>
              <w:rPr>
                <w:rFonts w:ascii="Arial"/>
                <w:sz w:val="21"/>
              </w:rPr>
            </w:pPr>
          </w:p>
        </w:tc>
        <w:tc>
          <w:tcPr>
            <w:tcW w:w="929" w:type="dxa"/>
            <w:vAlign w:val="top"/>
          </w:tcPr>
          <w:p w14:paraId="1F6B100F">
            <w:pPr>
              <w:rPr>
                <w:rFonts w:ascii="Arial"/>
                <w:sz w:val="21"/>
              </w:rPr>
            </w:pPr>
          </w:p>
        </w:tc>
        <w:tc>
          <w:tcPr>
            <w:tcW w:w="1019" w:type="dxa"/>
            <w:vAlign w:val="top"/>
          </w:tcPr>
          <w:p w14:paraId="05843C0A">
            <w:pPr>
              <w:rPr>
                <w:rFonts w:ascii="Arial"/>
                <w:sz w:val="21"/>
              </w:rPr>
            </w:pPr>
          </w:p>
        </w:tc>
        <w:tc>
          <w:tcPr>
            <w:tcW w:w="1259" w:type="dxa"/>
            <w:vAlign w:val="top"/>
          </w:tcPr>
          <w:p w14:paraId="0A29A24C">
            <w:pPr>
              <w:rPr>
                <w:rFonts w:ascii="Arial"/>
                <w:sz w:val="21"/>
              </w:rPr>
            </w:pPr>
          </w:p>
        </w:tc>
        <w:tc>
          <w:tcPr>
            <w:tcW w:w="934" w:type="dxa"/>
            <w:vAlign w:val="top"/>
          </w:tcPr>
          <w:p w14:paraId="44BF7C35">
            <w:pPr>
              <w:rPr>
                <w:rFonts w:ascii="Arial"/>
                <w:sz w:val="21"/>
              </w:rPr>
            </w:pPr>
          </w:p>
        </w:tc>
      </w:tr>
      <w:tr w14:paraId="7843D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4" w:type="dxa"/>
            <w:vAlign w:val="top"/>
          </w:tcPr>
          <w:p w14:paraId="3AF1AB41">
            <w:pPr>
              <w:rPr>
                <w:rFonts w:ascii="Arial"/>
                <w:sz w:val="21"/>
              </w:rPr>
            </w:pPr>
          </w:p>
        </w:tc>
        <w:tc>
          <w:tcPr>
            <w:tcW w:w="1579" w:type="dxa"/>
            <w:vAlign w:val="top"/>
          </w:tcPr>
          <w:p w14:paraId="06176909">
            <w:pPr>
              <w:rPr>
                <w:rFonts w:ascii="Arial"/>
                <w:sz w:val="21"/>
              </w:rPr>
            </w:pPr>
          </w:p>
        </w:tc>
        <w:tc>
          <w:tcPr>
            <w:tcW w:w="1489" w:type="dxa"/>
            <w:vAlign w:val="top"/>
          </w:tcPr>
          <w:p w14:paraId="7BD71130">
            <w:pPr>
              <w:rPr>
                <w:rFonts w:ascii="Arial"/>
                <w:sz w:val="21"/>
              </w:rPr>
            </w:pPr>
          </w:p>
        </w:tc>
        <w:tc>
          <w:tcPr>
            <w:tcW w:w="1019" w:type="dxa"/>
            <w:vAlign w:val="top"/>
          </w:tcPr>
          <w:p w14:paraId="53E317B3">
            <w:pPr>
              <w:rPr>
                <w:rFonts w:ascii="Arial"/>
                <w:sz w:val="21"/>
              </w:rPr>
            </w:pPr>
          </w:p>
        </w:tc>
        <w:tc>
          <w:tcPr>
            <w:tcW w:w="1019" w:type="dxa"/>
            <w:vAlign w:val="top"/>
          </w:tcPr>
          <w:p w14:paraId="6F039D75">
            <w:pPr>
              <w:rPr>
                <w:rFonts w:ascii="Arial"/>
                <w:sz w:val="21"/>
              </w:rPr>
            </w:pPr>
          </w:p>
        </w:tc>
        <w:tc>
          <w:tcPr>
            <w:tcW w:w="2149" w:type="dxa"/>
            <w:vAlign w:val="top"/>
          </w:tcPr>
          <w:p w14:paraId="30C8C3EC">
            <w:pPr>
              <w:rPr>
                <w:rFonts w:ascii="Arial"/>
                <w:sz w:val="21"/>
              </w:rPr>
            </w:pPr>
          </w:p>
        </w:tc>
        <w:tc>
          <w:tcPr>
            <w:tcW w:w="1599" w:type="dxa"/>
            <w:vAlign w:val="top"/>
          </w:tcPr>
          <w:p w14:paraId="66CC24E2">
            <w:pPr>
              <w:rPr>
                <w:rFonts w:ascii="Arial"/>
                <w:sz w:val="21"/>
              </w:rPr>
            </w:pPr>
          </w:p>
        </w:tc>
        <w:tc>
          <w:tcPr>
            <w:tcW w:w="929" w:type="dxa"/>
            <w:vAlign w:val="top"/>
          </w:tcPr>
          <w:p w14:paraId="4F79B275">
            <w:pPr>
              <w:rPr>
                <w:rFonts w:ascii="Arial"/>
                <w:sz w:val="21"/>
              </w:rPr>
            </w:pPr>
          </w:p>
        </w:tc>
        <w:tc>
          <w:tcPr>
            <w:tcW w:w="1019" w:type="dxa"/>
            <w:vAlign w:val="top"/>
          </w:tcPr>
          <w:p w14:paraId="542F21DA">
            <w:pPr>
              <w:rPr>
                <w:rFonts w:ascii="Arial"/>
                <w:sz w:val="21"/>
              </w:rPr>
            </w:pPr>
          </w:p>
        </w:tc>
        <w:tc>
          <w:tcPr>
            <w:tcW w:w="1259" w:type="dxa"/>
            <w:vAlign w:val="top"/>
          </w:tcPr>
          <w:p w14:paraId="6E61B4A8">
            <w:pPr>
              <w:rPr>
                <w:rFonts w:ascii="Arial"/>
                <w:sz w:val="21"/>
              </w:rPr>
            </w:pPr>
          </w:p>
        </w:tc>
        <w:tc>
          <w:tcPr>
            <w:tcW w:w="934" w:type="dxa"/>
            <w:vAlign w:val="top"/>
          </w:tcPr>
          <w:p w14:paraId="579F9ED7">
            <w:pPr>
              <w:rPr>
                <w:rFonts w:ascii="Arial"/>
                <w:sz w:val="21"/>
              </w:rPr>
            </w:pPr>
          </w:p>
        </w:tc>
      </w:tr>
      <w:tr w14:paraId="6ED1A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4" w:type="dxa"/>
            <w:vAlign w:val="top"/>
          </w:tcPr>
          <w:p w14:paraId="39A6D00B">
            <w:pPr>
              <w:rPr>
                <w:rFonts w:ascii="Arial"/>
                <w:sz w:val="21"/>
              </w:rPr>
            </w:pPr>
          </w:p>
        </w:tc>
        <w:tc>
          <w:tcPr>
            <w:tcW w:w="1579" w:type="dxa"/>
            <w:vAlign w:val="top"/>
          </w:tcPr>
          <w:p w14:paraId="19474755">
            <w:pPr>
              <w:rPr>
                <w:rFonts w:ascii="Arial"/>
                <w:sz w:val="21"/>
              </w:rPr>
            </w:pPr>
          </w:p>
        </w:tc>
        <w:tc>
          <w:tcPr>
            <w:tcW w:w="1489" w:type="dxa"/>
            <w:vAlign w:val="top"/>
          </w:tcPr>
          <w:p w14:paraId="72F66A60">
            <w:pPr>
              <w:rPr>
                <w:rFonts w:ascii="Arial"/>
                <w:sz w:val="21"/>
              </w:rPr>
            </w:pPr>
          </w:p>
        </w:tc>
        <w:tc>
          <w:tcPr>
            <w:tcW w:w="1019" w:type="dxa"/>
            <w:vAlign w:val="top"/>
          </w:tcPr>
          <w:p w14:paraId="09C002CC">
            <w:pPr>
              <w:rPr>
                <w:rFonts w:ascii="Arial"/>
                <w:sz w:val="21"/>
              </w:rPr>
            </w:pPr>
          </w:p>
        </w:tc>
        <w:tc>
          <w:tcPr>
            <w:tcW w:w="1019" w:type="dxa"/>
            <w:vAlign w:val="top"/>
          </w:tcPr>
          <w:p w14:paraId="1988F3E1">
            <w:pPr>
              <w:rPr>
                <w:rFonts w:ascii="Arial"/>
                <w:sz w:val="21"/>
              </w:rPr>
            </w:pPr>
          </w:p>
        </w:tc>
        <w:tc>
          <w:tcPr>
            <w:tcW w:w="2149" w:type="dxa"/>
            <w:vAlign w:val="top"/>
          </w:tcPr>
          <w:p w14:paraId="522C09DA">
            <w:pPr>
              <w:rPr>
                <w:rFonts w:ascii="Arial"/>
                <w:sz w:val="21"/>
              </w:rPr>
            </w:pPr>
          </w:p>
        </w:tc>
        <w:tc>
          <w:tcPr>
            <w:tcW w:w="1599" w:type="dxa"/>
            <w:vAlign w:val="top"/>
          </w:tcPr>
          <w:p w14:paraId="19A23210">
            <w:pPr>
              <w:rPr>
                <w:rFonts w:ascii="Arial"/>
                <w:sz w:val="21"/>
              </w:rPr>
            </w:pPr>
          </w:p>
        </w:tc>
        <w:tc>
          <w:tcPr>
            <w:tcW w:w="929" w:type="dxa"/>
            <w:vAlign w:val="top"/>
          </w:tcPr>
          <w:p w14:paraId="5107E00F">
            <w:pPr>
              <w:rPr>
                <w:rFonts w:ascii="Arial"/>
                <w:sz w:val="21"/>
              </w:rPr>
            </w:pPr>
          </w:p>
        </w:tc>
        <w:tc>
          <w:tcPr>
            <w:tcW w:w="1019" w:type="dxa"/>
            <w:vAlign w:val="top"/>
          </w:tcPr>
          <w:p w14:paraId="7B1B35FD">
            <w:pPr>
              <w:rPr>
                <w:rFonts w:ascii="Arial"/>
                <w:sz w:val="21"/>
              </w:rPr>
            </w:pPr>
          </w:p>
        </w:tc>
        <w:tc>
          <w:tcPr>
            <w:tcW w:w="1259" w:type="dxa"/>
            <w:vAlign w:val="top"/>
          </w:tcPr>
          <w:p w14:paraId="2D881C3F">
            <w:pPr>
              <w:rPr>
                <w:rFonts w:ascii="Arial"/>
                <w:sz w:val="21"/>
              </w:rPr>
            </w:pPr>
          </w:p>
        </w:tc>
        <w:tc>
          <w:tcPr>
            <w:tcW w:w="934" w:type="dxa"/>
            <w:vAlign w:val="top"/>
          </w:tcPr>
          <w:p w14:paraId="749F5362">
            <w:pPr>
              <w:rPr>
                <w:rFonts w:ascii="Arial"/>
                <w:sz w:val="21"/>
              </w:rPr>
            </w:pPr>
          </w:p>
        </w:tc>
      </w:tr>
      <w:tr w14:paraId="03354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84" w:type="dxa"/>
            <w:vAlign w:val="top"/>
          </w:tcPr>
          <w:p w14:paraId="7660540B">
            <w:pPr>
              <w:rPr>
                <w:rFonts w:ascii="Arial"/>
                <w:sz w:val="21"/>
              </w:rPr>
            </w:pPr>
          </w:p>
        </w:tc>
        <w:tc>
          <w:tcPr>
            <w:tcW w:w="1579" w:type="dxa"/>
            <w:vAlign w:val="top"/>
          </w:tcPr>
          <w:p w14:paraId="28AE7D18">
            <w:pPr>
              <w:rPr>
                <w:rFonts w:ascii="Arial"/>
                <w:sz w:val="21"/>
              </w:rPr>
            </w:pPr>
          </w:p>
        </w:tc>
        <w:tc>
          <w:tcPr>
            <w:tcW w:w="1489" w:type="dxa"/>
            <w:vAlign w:val="top"/>
          </w:tcPr>
          <w:p w14:paraId="3CE2290A">
            <w:pPr>
              <w:rPr>
                <w:rFonts w:ascii="Arial"/>
                <w:sz w:val="21"/>
              </w:rPr>
            </w:pPr>
          </w:p>
        </w:tc>
        <w:tc>
          <w:tcPr>
            <w:tcW w:w="1019" w:type="dxa"/>
            <w:vAlign w:val="top"/>
          </w:tcPr>
          <w:p w14:paraId="6BA50FEE">
            <w:pPr>
              <w:rPr>
                <w:rFonts w:ascii="Arial"/>
                <w:sz w:val="21"/>
              </w:rPr>
            </w:pPr>
          </w:p>
        </w:tc>
        <w:tc>
          <w:tcPr>
            <w:tcW w:w="1019" w:type="dxa"/>
            <w:vAlign w:val="top"/>
          </w:tcPr>
          <w:p w14:paraId="2BDD05F1">
            <w:pPr>
              <w:rPr>
                <w:rFonts w:ascii="Arial"/>
                <w:sz w:val="21"/>
              </w:rPr>
            </w:pPr>
          </w:p>
        </w:tc>
        <w:tc>
          <w:tcPr>
            <w:tcW w:w="2149" w:type="dxa"/>
            <w:vAlign w:val="top"/>
          </w:tcPr>
          <w:p w14:paraId="0A8E8884">
            <w:pPr>
              <w:rPr>
                <w:rFonts w:ascii="Arial"/>
                <w:sz w:val="21"/>
              </w:rPr>
            </w:pPr>
          </w:p>
        </w:tc>
        <w:tc>
          <w:tcPr>
            <w:tcW w:w="1599" w:type="dxa"/>
            <w:vAlign w:val="top"/>
          </w:tcPr>
          <w:p w14:paraId="0CBD117F">
            <w:pPr>
              <w:rPr>
                <w:rFonts w:ascii="Arial"/>
                <w:sz w:val="21"/>
              </w:rPr>
            </w:pPr>
          </w:p>
        </w:tc>
        <w:tc>
          <w:tcPr>
            <w:tcW w:w="929" w:type="dxa"/>
            <w:vAlign w:val="top"/>
          </w:tcPr>
          <w:p w14:paraId="75D7E91B">
            <w:pPr>
              <w:rPr>
                <w:rFonts w:ascii="Arial"/>
                <w:sz w:val="21"/>
              </w:rPr>
            </w:pPr>
          </w:p>
        </w:tc>
        <w:tc>
          <w:tcPr>
            <w:tcW w:w="1019" w:type="dxa"/>
            <w:vAlign w:val="top"/>
          </w:tcPr>
          <w:p w14:paraId="1073D879">
            <w:pPr>
              <w:rPr>
                <w:rFonts w:ascii="Arial"/>
                <w:sz w:val="21"/>
              </w:rPr>
            </w:pPr>
          </w:p>
        </w:tc>
        <w:tc>
          <w:tcPr>
            <w:tcW w:w="1259" w:type="dxa"/>
            <w:vAlign w:val="top"/>
          </w:tcPr>
          <w:p w14:paraId="5207EA3C">
            <w:pPr>
              <w:rPr>
                <w:rFonts w:ascii="Arial"/>
                <w:sz w:val="21"/>
              </w:rPr>
            </w:pPr>
          </w:p>
        </w:tc>
        <w:tc>
          <w:tcPr>
            <w:tcW w:w="934" w:type="dxa"/>
            <w:vAlign w:val="top"/>
          </w:tcPr>
          <w:p w14:paraId="48BBD9B9">
            <w:pPr>
              <w:rPr>
                <w:rFonts w:ascii="Arial"/>
                <w:sz w:val="21"/>
              </w:rPr>
            </w:pPr>
          </w:p>
        </w:tc>
      </w:tr>
      <w:tr w14:paraId="44EBD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84" w:type="dxa"/>
            <w:vAlign w:val="top"/>
          </w:tcPr>
          <w:p w14:paraId="74E21E9F">
            <w:pPr>
              <w:rPr>
                <w:rFonts w:ascii="Arial"/>
                <w:sz w:val="21"/>
              </w:rPr>
            </w:pPr>
          </w:p>
        </w:tc>
        <w:tc>
          <w:tcPr>
            <w:tcW w:w="1579" w:type="dxa"/>
            <w:vAlign w:val="top"/>
          </w:tcPr>
          <w:p w14:paraId="1BFEAC6D">
            <w:pPr>
              <w:rPr>
                <w:rFonts w:ascii="Arial"/>
                <w:sz w:val="21"/>
              </w:rPr>
            </w:pPr>
          </w:p>
        </w:tc>
        <w:tc>
          <w:tcPr>
            <w:tcW w:w="1489" w:type="dxa"/>
            <w:vAlign w:val="top"/>
          </w:tcPr>
          <w:p w14:paraId="1227D294">
            <w:pPr>
              <w:rPr>
                <w:rFonts w:ascii="Arial"/>
                <w:sz w:val="21"/>
              </w:rPr>
            </w:pPr>
          </w:p>
        </w:tc>
        <w:tc>
          <w:tcPr>
            <w:tcW w:w="1019" w:type="dxa"/>
            <w:vAlign w:val="top"/>
          </w:tcPr>
          <w:p w14:paraId="444FF2AD">
            <w:pPr>
              <w:rPr>
                <w:rFonts w:ascii="Arial"/>
                <w:sz w:val="21"/>
              </w:rPr>
            </w:pPr>
          </w:p>
        </w:tc>
        <w:tc>
          <w:tcPr>
            <w:tcW w:w="1019" w:type="dxa"/>
            <w:vAlign w:val="top"/>
          </w:tcPr>
          <w:p w14:paraId="1B47D938">
            <w:pPr>
              <w:rPr>
                <w:rFonts w:ascii="Arial"/>
                <w:sz w:val="21"/>
              </w:rPr>
            </w:pPr>
          </w:p>
        </w:tc>
        <w:tc>
          <w:tcPr>
            <w:tcW w:w="2149" w:type="dxa"/>
            <w:vAlign w:val="top"/>
          </w:tcPr>
          <w:p w14:paraId="39E6B711">
            <w:pPr>
              <w:rPr>
                <w:rFonts w:ascii="Arial"/>
                <w:sz w:val="21"/>
              </w:rPr>
            </w:pPr>
          </w:p>
        </w:tc>
        <w:tc>
          <w:tcPr>
            <w:tcW w:w="1599" w:type="dxa"/>
            <w:vAlign w:val="top"/>
          </w:tcPr>
          <w:p w14:paraId="6CE22589">
            <w:pPr>
              <w:rPr>
                <w:rFonts w:ascii="Arial"/>
                <w:sz w:val="21"/>
              </w:rPr>
            </w:pPr>
          </w:p>
        </w:tc>
        <w:tc>
          <w:tcPr>
            <w:tcW w:w="929" w:type="dxa"/>
            <w:vAlign w:val="top"/>
          </w:tcPr>
          <w:p w14:paraId="2E1D6A24">
            <w:pPr>
              <w:rPr>
                <w:rFonts w:ascii="Arial"/>
                <w:sz w:val="21"/>
              </w:rPr>
            </w:pPr>
          </w:p>
        </w:tc>
        <w:tc>
          <w:tcPr>
            <w:tcW w:w="1019" w:type="dxa"/>
            <w:vAlign w:val="top"/>
          </w:tcPr>
          <w:p w14:paraId="18352FD1">
            <w:pPr>
              <w:rPr>
                <w:rFonts w:ascii="Arial"/>
                <w:sz w:val="21"/>
              </w:rPr>
            </w:pPr>
          </w:p>
        </w:tc>
        <w:tc>
          <w:tcPr>
            <w:tcW w:w="1259" w:type="dxa"/>
            <w:vAlign w:val="top"/>
          </w:tcPr>
          <w:p w14:paraId="6A512B84">
            <w:pPr>
              <w:rPr>
                <w:rFonts w:ascii="Arial"/>
                <w:sz w:val="21"/>
              </w:rPr>
            </w:pPr>
          </w:p>
        </w:tc>
        <w:tc>
          <w:tcPr>
            <w:tcW w:w="934" w:type="dxa"/>
            <w:vAlign w:val="top"/>
          </w:tcPr>
          <w:p w14:paraId="76A1FD72">
            <w:pPr>
              <w:rPr>
                <w:rFonts w:ascii="Arial"/>
                <w:sz w:val="21"/>
              </w:rPr>
            </w:pPr>
          </w:p>
        </w:tc>
      </w:tr>
    </w:tbl>
    <w:p w14:paraId="1A1DCC2A">
      <w:pPr>
        <w:spacing w:before="68" w:line="214" w:lineRule="auto"/>
        <w:ind w:left="14"/>
        <w:rPr>
          <w:rFonts w:ascii="宋体" w:hAnsi="宋体" w:eastAsia="宋体" w:cs="宋体"/>
          <w:sz w:val="25"/>
          <w:szCs w:val="25"/>
        </w:rPr>
      </w:pPr>
      <w:r>
        <w:rPr>
          <w:rFonts w:ascii="宋体" w:hAnsi="宋体" w:eastAsia="宋体" w:cs="宋体"/>
          <w:sz w:val="25"/>
          <w:szCs w:val="25"/>
        </w:rPr>
        <w:t>注：此表由各有关部门从6月份起每月</w:t>
      </w:r>
      <w:r>
        <w:rPr>
          <w:rFonts w:hint="eastAsia" w:ascii="宋体" w:hAnsi="宋体" w:eastAsia="宋体" w:cs="宋体"/>
          <w:sz w:val="25"/>
          <w:szCs w:val="25"/>
          <w:lang w:val="en-US" w:eastAsia="zh-CN"/>
        </w:rPr>
        <w:t>20</w:t>
      </w:r>
      <w:r>
        <w:rPr>
          <w:rFonts w:ascii="宋体" w:hAnsi="宋体" w:eastAsia="宋体" w:cs="宋体"/>
          <w:sz w:val="25"/>
          <w:szCs w:val="25"/>
        </w:rPr>
        <w:t>日前上报邮箱</w:t>
      </w:r>
      <w:r>
        <w:rPr>
          <w:rFonts w:ascii="宋体" w:hAnsi="宋体" w:eastAsia="宋体" w:cs="宋体"/>
          <w:sz w:val="25"/>
          <w:szCs w:val="25"/>
          <w:lang w:val="en-US" w:eastAsia="zh-CN"/>
        </w:rPr>
        <w:t>2673076155@.com</w:t>
      </w:r>
      <w:r>
        <w:rPr>
          <w:rFonts w:ascii="宋体" w:hAnsi="宋体" w:eastAsia="宋体" w:cs="宋体"/>
          <w:sz w:val="25"/>
          <w:szCs w:val="25"/>
        </w:rPr>
        <w:t>,上报数据为累</w:t>
      </w:r>
      <w:r>
        <w:rPr>
          <w:rFonts w:ascii="宋体" w:hAnsi="宋体" w:eastAsia="宋体" w:cs="宋体"/>
          <w:spacing w:val="-1"/>
          <w:sz w:val="25"/>
          <w:szCs w:val="25"/>
        </w:rPr>
        <w:t>积数据。</w:t>
      </w:r>
    </w:p>
    <w:p w14:paraId="48AD315F">
      <w:pPr>
        <w:spacing w:line="214" w:lineRule="auto"/>
        <w:rPr>
          <w:rFonts w:ascii="宋体" w:hAnsi="宋体" w:eastAsia="宋体" w:cs="宋体"/>
          <w:sz w:val="25"/>
          <w:szCs w:val="25"/>
        </w:rPr>
        <w:sectPr>
          <w:footerReference r:id="rId5" w:type="default"/>
          <w:pgSz w:w="16830" w:h="11900"/>
          <w:pgMar w:top="1011" w:right="1765" w:bottom="746" w:left="1375" w:header="0" w:footer="567" w:gutter="0"/>
          <w:pgBorders>
            <w:top w:val="none" w:sz="0" w:space="0"/>
            <w:left w:val="none" w:sz="0" w:space="0"/>
            <w:bottom w:val="none" w:sz="0" w:space="0"/>
            <w:right w:val="none" w:sz="0" w:space="0"/>
          </w:pgBorders>
          <w:cols w:space="720" w:num="1"/>
        </w:sectPr>
      </w:pPr>
    </w:p>
    <w:p w14:paraId="57076626">
      <w:pPr>
        <w:spacing w:before="138" w:line="219" w:lineRule="auto"/>
        <w:ind w:left="2610"/>
        <w:rPr>
          <w:rFonts w:ascii="宋体" w:hAnsi="宋体" w:eastAsia="宋体" w:cs="宋体"/>
          <w:sz w:val="36"/>
          <w:szCs w:val="36"/>
        </w:rPr>
      </w:pPr>
      <w:r>
        <w:rPr>
          <w:rFonts w:hint="eastAsia" w:ascii="宋体" w:hAnsi="宋体" w:eastAsia="宋体" w:cs="宋体"/>
          <w:b/>
          <w:bCs/>
          <w:spacing w:val="-6"/>
          <w:sz w:val="36"/>
          <w:szCs w:val="36"/>
          <w:lang w:eastAsia="zh-CN"/>
        </w:rPr>
        <w:t>方山县</w:t>
      </w:r>
      <w:r>
        <w:rPr>
          <w:rFonts w:ascii="宋体" w:hAnsi="宋体" w:eastAsia="宋体" w:cs="宋体"/>
          <w:b/>
          <w:bCs/>
          <w:spacing w:val="-6"/>
          <w:sz w:val="36"/>
          <w:szCs w:val="36"/>
        </w:rPr>
        <w:t>加强电动自行车全链条安全监管工作年</w:t>
      </w:r>
      <w:r>
        <w:rPr>
          <w:rFonts w:ascii="宋体" w:hAnsi="宋体" w:eastAsia="宋体" w:cs="宋体"/>
          <w:b/>
          <w:bCs/>
          <w:spacing w:val="-7"/>
          <w:sz w:val="36"/>
          <w:szCs w:val="36"/>
        </w:rPr>
        <w:t>度任务清单</w:t>
      </w:r>
    </w:p>
    <w:tbl>
      <w:tblPr>
        <w:tblStyle w:val="7"/>
        <w:tblpPr w:leftFromText="180" w:rightFromText="180" w:vertAnchor="text" w:horzAnchor="page" w:tblpX="1039" w:tblpY="56"/>
        <w:tblOverlap w:val="never"/>
        <w:tblW w:w="141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5766"/>
        <w:gridCol w:w="15"/>
        <w:gridCol w:w="2021"/>
        <w:gridCol w:w="2190"/>
        <w:gridCol w:w="2920"/>
      </w:tblGrid>
      <w:tr w14:paraId="3CDA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194" w:type="dxa"/>
            <w:vAlign w:val="top"/>
          </w:tcPr>
          <w:p w14:paraId="3A26EAF2">
            <w:pPr>
              <w:jc w:val="both"/>
              <w:rPr>
                <w:rFonts w:ascii="Arial"/>
                <w:sz w:val="21"/>
              </w:rPr>
            </w:pPr>
          </w:p>
          <w:p w14:paraId="5650B555">
            <w:pPr>
              <w:pStyle w:val="6"/>
              <w:spacing w:before="61" w:line="220" w:lineRule="auto"/>
              <w:ind w:left="205"/>
              <w:jc w:val="both"/>
              <w:rPr>
                <w:sz w:val="19"/>
                <w:szCs w:val="19"/>
              </w:rPr>
            </w:pPr>
            <w:r>
              <w:rPr>
                <w:spacing w:val="-2"/>
                <w:sz w:val="19"/>
                <w:szCs w:val="19"/>
              </w:rPr>
              <w:t>工作环节</w:t>
            </w:r>
          </w:p>
        </w:tc>
        <w:tc>
          <w:tcPr>
            <w:tcW w:w="5781" w:type="dxa"/>
            <w:gridSpan w:val="2"/>
            <w:vAlign w:val="top"/>
          </w:tcPr>
          <w:p w14:paraId="074DF363">
            <w:pPr>
              <w:jc w:val="both"/>
              <w:rPr>
                <w:rFonts w:ascii="Arial"/>
                <w:sz w:val="21"/>
              </w:rPr>
            </w:pPr>
          </w:p>
          <w:p w14:paraId="4DFD9F6E">
            <w:pPr>
              <w:pStyle w:val="6"/>
              <w:spacing w:before="61" w:line="220" w:lineRule="auto"/>
              <w:ind w:left="2500"/>
              <w:jc w:val="both"/>
              <w:rPr>
                <w:sz w:val="19"/>
                <w:szCs w:val="19"/>
              </w:rPr>
            </w:pPr>
            <w:r>
              <w:rPr>
                <w:spacing w:val="-2"/>
                <w:sz w:val="19"/>
                <w:szCs w:val="19"/>
              </w:rPr>
              <w:t>落实措施</w:t>
            </w:r>
          </w:p>
        </w:tc>
        <w:tc>
          <w:tcPr>
            <w:tcW w:w="2021" w:type="dxa"/>
            <w:vAlign w:val="top"/>
          </w:tcPr>
          <w:p w14:paraId="69081FBA">
            <w:pPr>
              <w:pStyle w:val="6"/>
              <w:spacing w:before="301" w:line="219" w:lineRule="auto"/>
              <w:ind w:left="525"/>
              <w:jc w:val="both"/>
              <w:rPr>
                <w:sz w:val="19"/>
                <w:szCs w:val="19"/>
              </w:rPr>
            </w:pPr>
            <w:r>
              <w:rPr>
                <w:spacing w:val="-2"/>
                <w:sz w:val="19"/>
                <w:szCs w:val="19"/>
              </w:rPr>
              <w:t>牵头单位</w:t>
            </w:r>
          </w:p>
        </w:tc>
        <w:tc>
          <w:tcPr>
            <w:tcW w:w="2190" w:type="dxa"/>
            <w:vAlign w:val="top"/>
          </w:tcPr>
          <w:p w14:paraId="13AF6B3F">
            <w:pPr>
              <w:jc w:val="both"/>
              <w:rPr>
                <w:rFonts w:ascii="Arial"/>
                <w:sz w:val="21"/>
              </w:rPr>
            </w:pPr>
          </w:p>
          <w:p w14:paraId="7F71ED7C">
            <w:pPr>
              <w:pStyle w:val="6"/>
              <w:spacing w:before="61" w:line="220" w:lineRule="auto"/>
              <w:ind w:left="556"/>
              <w:jc w:val="both"/>
              <w:rPr>
                <w:sz w:val="19"/>
                <w:szCs w:val="19"/>
              </w:rPr>
            </w:pPr>
            <w:r>
              <w:rPr>
                <w:spacing w:val="-2"/>
                <w:sz w:val="19"/>
                <w:szCs w:val="19"/>
              </w:rPr>
              <w:t>配合单位</w:t>
            </w:r>
          </w:p>
        </w:tc>
        <w:tc>
          <w:tcPr>
            <w:tcW w:w="2920" w:type="dxa"/>
            <w:vAlign w:val="top"/>
          </w:tcPr>
          <w:p w14:paraId="66D6ADEE">
            <w:pPr>
              <w:pStyle w:val="6"/>
              <w:spacing w:before="302" w:line="219" w:lineRule="auto"/>
              <w:ind w:left="478"/>
              <w:jc w:val="both"/>
              <w:rPr>
                <w:sz w:val="19"/>
                <w:szCs w:val="19"/>
              </w:rPr>
            </w:pPr>
            <w:r>
              <w:rPr>
                <w:spacing w:val="-2"/>
                <w:sz w:val="19"/>
                <w:szCs w:val="19"/>
              </w:rPr>
              <w:t>完成时限</w:t>
            </w:r>
          </w:p>
        </w:tc>
      </w:tr>
      <w:tr w14:paraId="406A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1194" w:type="dxa"/>
            <w:vMerge w:val="restart"/>
            <w:tcBorders>
              <w:bottom w:val="nil"/>
            </w:tcBorders>
            <w:vAlign w:val="top"/>
          </w:tcPr>
          <w:p w14:paraId="76763E1F">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26035E7A">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40C772B2">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47D73478">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25380208">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12A48343">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6E4A0005">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08EB5FEF">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7A3AE29D">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7AC5A22A">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p w14:paraId="0E618619">
            <w:pPr>
              <w:pStyle w:val="6"/>
              <w:keepNext w:val="0"/>
              <w:keepLines w:val="0"/>
              <w:pageBreakBefore w:val="0"/>
              <w:widowControl/>
              <w:kinsoku w:val="0"/>
              <w:wordWrap/>
              <w:overflowPunct/>
              <w:topLinePunct w:val="0"/>
              <w:autoSpaceDE w:val="0"/>
              <w:autoSpaceDN w:val="0"/>
              <w:bidi w:val="0"/>
              <w:adjustRightInd w:val="0"/>
              <w:snapToGrid w:val="0"/>
              <w:spacing w:before="62" w:line="340" w:lineRule="atLeast"/>
              <w:ind w:left="105"/>
              <w:jc w:val="both"/>
              <w:textAlignment w:val="baseline"/>
              <w:rPr>
                <w:sz w:val="19"/>
                <w:szCs w:val="19"/>
              </w:rPr>
            </w:pPr>
            <w:r>
              <w:rPr>
                <w:spacing w:val="1"/>
                <w:sz w:val="19"/>
                <w:szCs w:val="19"/>
              </w:rPr>
              <w:t>(一)着力解</w:t>
            </w:r>
          </w:p>
          <w:p w14:paraId="19A0C2E8">
            <w:pPr>
              <w:pStyle w:val="6"/>
              <w:keepNext w:val="0"/>
              <w:keepLines w:val="0"/>
              <w:pageBreakBefore w:val="0"/>
              <w:widowControl/>
              <w:kinsoku w:val="0"/>
              <w:wordWrap/>
              <w:overflowPunct/>
              <w:topLinePunct w:val="0"/>
              <w:autoSpaceDE w:val="0"/>
              <w:autoSpaceDN w:val="0"/>
              <w:bidi w:val="0"/>
              <w:adjustRightInd w:val="0"/>
              <w:snapToGrid w:val="0"/>
              <w:spacing w:before="14" w:line="340" w:lineRule="atLeast"/>
              <w:ind w:left="105"/>
              <w:jc w:val="both"/>
              <w:textAlignment w:val="baseline"/>
              <w:rPr>
                <w:sz w:val="19"/>
                <w:szCs w:val="19"/>
              </w:rPr>
            </w:pPr>
            <w:r>
              <w:rPr>
                <w:spacing w:val="1"/>
                <w:sz w:val="19"/>
                <w:szCs w:val="19"/>
              </w:rPr>
              <w:t>决标准贯彻</w:t>
            </w:r>
          </w:p>
          <w:p w14:paraId="47439410">
            <w:pPr>
              <w:pStyle w:val="6"/>
              <w:keepNext w:val="0"/>
              <w:keepLines w:val="0"/>
              <w:pageBreakBefore w:val="0"/>
              <w:widowControl/>
              <w:kinsoku w:val="0"/>
              <w:wordWrap/>
              <w:overflowPunct/>
              <w:topLinePunct w:val="0"/>
              <w:autoSpaceDE w:val="0"/>
              <w:autoSpaceDN w:val="0"/>
              <w:bidi w:val="0"/>
              <w:adjustRightInd w:val="0"/>
              <w:snapToGrid w:val="0"/>
              <w:spacing w:before="25" w:line="340" w:lineRule="atLeast"/>
              <w:ind w:left="105"/>
              <w:jc w:val="both"/>
              <w:textAlignment w:val="baseline"/>
              <w:rPr>
                <w:sz w:val="19"/>
                <w:szCs w:val="19"/>
              </w:rPr>
            </w:pPr>
            <w:r>
              <w:rPr>
                <w:spacing w:val="-2"/>
                <w:sz w:val="19"/>
                <w:szCs w:val="19"/>
              </w:rPr>
              <w:t>落实不到位</w:t>
            </w:r>
          </w:p>
          <w:p w14:paraId="24320FB6">
            <w:pPr>
              <w:pStyle w:val="6"/>
              <w:keepNext w:val="0"/>
              <w:keepLines w:val="0"/>
              <w:pageBreakBefore w:val="0"/>
              <w:widowControl/>
              <w:kinsoku w:val="0"/>
              <w:wordWrap/>
              <w:overflowPunct/>
              <w:topLinePunct w:val="0"/>
              <w:autoSpaceDE w:val="0"/>
              <w:autoSpaceDN w:val="0"/>
              <w:bidi w:val="0"/>
              <w:adjustRightInd w:val="0"/>
              <w:snapToGrid w:val="0"/>
              <w:spacing w:before="15" w:line="340" w:lineRule="atLeast"/>
              <w:ind w:left="395"/>
              <w:jc w:val="both"/>
              <w:textAlignment w:val="baseline"/>
              <w:rPr>
                <w:sz w:val="19"/>
                <w:szCs w:val="19"/>
              </w:rPr>
            </w:pPr>
            <w:r>
              <w:rPr>
                <w:spacing w:val="4"/>
                <w:sz w:val="19"/>
                <w:szCs w:val="19"/>
              </w:rPr>
              <w:t>问题</w:t>
            </w:r>
          </w:p>
        </w:tc>
        <w:tc>
          <w:tcPr>
            <w:tcW w:w="5781" w:type="dxa"/>
            <w:gridSpan w:val="2"/>
            <w:vAlign w:val="center"/>
          </w:tcPr>
          <w:p w14:paraId="4AC04813">
            <w:pPr>
              <w:pStyle w:val="6"/>
              <w:keepNext w:val="0"/>
              <w:keepLines w:val="0"/>
              <w:pageBreakBefore w:val="0"/>
              <w:widowControl/>
              <w:kinsoku w:val="0"/>
              <w:wordWrap/>
              <w:overflowPunct/>
              <w:topLinePunct w:val="0"/>
              <w:autoSpaceDE w:val="0"/>
              <w:autoSpaceDN w:val="0"/>
              <w:bidi w:val="0"/>
              <w:adjustRightInd w:val="0"/>
              <w:snapToGrid w:val="0"/>
              <w:spacing w:before="218" w:line="340" w:lineRule="atLeast"/>
              <w:jc w:val="both"/>
              <w:textAlignment w:val="baseline"/>
              <w:rPr>
                <w:sz w:val="19"/>
                <w:szCs w:val="19"/>
              </w:rPr>
            </w:pPr>
            <w:r>
              <w:rPr>
                <w:sz w:val="19"/>
                <w:szCs w:val="19"/>
              </w:rPr>
              <w:t>1</w:t>
            </w:r>
            <w:r>
              <w:rPr>
                <w:rFonts w:hint="eastAsia"/>
                <w:sz w:val="19"/>
                <w:szCs w:val="19"/>
                <w:lang w:val="en-US" w:eastAsia="zh-CN"/>
              </w:rPr>
              <w:t>.1</w:t>
            </w:r>
            <w:r>
              <w:rPr>
                <w:sz w:val="19"/>
                <w:szCs w:val="19"/>
              </w:rPr>
              <w:t>加强《电动自行车用锂离子蓄电池安全技术规</w:t>
            </w:r>
            <w:r>
              <w:rPr>
                <w:spacing w:val="-1"/>
                <w:sz w:val="19"/>
                <w:szCs w:val="19"/>
              </w:rPr>
              <w:t>范》</w:t>
            </w:r>
            <w:r>
              <w:rPr>
                <w:sz w:val="19"/>
                <w:szCs w:val="19"/>
              </w:rPr>
              <w:t>(GB43854—2024)以及修订的《电动自行车用充电器安全技术要求</w:t>
            </w:r>
            <w:r>
              <w:rPr>
                <w:spacing w:val="-9"/>
                <w:sz w:val="19"/>
                <w:szCs w:val="19"/>
              </w:rPr>
              <w:t>》(GB42296—2022)、《电动自行车安全技术规范》</w:t>
            </w:r>
            <w:r>
              <w:rPr>
                <w:sz w:val="19"/>
                <w:szCs w:val="19"/>
              </w:rPr>
              <w:t>(GB17761—2018)等国家标准的宣贯执行，督促生产企业加快过渡</w:t>
            </w:r>
            <w:r>
              <w:rPr>
                <w:spacing w:val="2"/>
                <w:sz w:val="19"/>
                <w:szCs w:val="19"/>
              </w:rPr>
              <w:t>期内生产设备升级改造</w:t>
            </w:r>
            <w:r>
              <w:rPr>
                <w:rFonts w:hint="eastAsia"/>
                <w:spacing w:val="2"/>
                <w:sz w:val="19"/>
                <w:szCs w:val="19"/>
                <w:lang w:eastAsia="zh-CN"/>
              </w:rPr>
              <w:t>，</w:t>
            </w:r>
            <w:r>
              <w:rPr>
                <w:spacing w:val="2"/>
                <w:sz w:val="19"/>
                <w:szCs w:val="19"/>
              </w:rPr>
              <w:t>严格落实电池数据采集存储</w:t>
            </w:r>
            <w:r>
              <w:rPr>
                <w:spacing w:val="1"/>
                <w:sz w:val="19"/>
                <w:szCs w:val="19"/>
              </w:rPr>
              <w:t>和安全状态</w:t>
            </w:r>
            <w:r>
              <w:rPr>
                <w:spacing w:val="3"/>
                <w:sz w:val="19"/>
                <w:szCs w:val="19"/>
              </w:rPr>
              <w:t>监测技术要求，标注正常使用条件下电池安全使用年限</w:t>
            </w:r>
            <w:r>
              <w:rPr>
                <w:rFonts w:hint="eastAsia"/>
                <w:spacing w:val="3"/>
                <w:sz w:val="19"/>
                <w:szCs w:val="19"/>
                <w:lang w:eastAsia="zh-CN"/>
              </w:rPr>
              <w:t>，</w:t>
            </w:r>
            <w:r>
              <w:rPr>
                <w:spacing w:val="3"/>
                <w:sz w:val="19"/>
                <w:szCs w:val="19"/>
              </w:rPr>
              <w:t>电动自</w:t>
            </w:r>
            <w:r>
              <w:rPr>
                <w:sz w:val="19"/>
                <w:szCs w:val="19"/>
              </w:rPr>
              <w:t>行车禁止使用梯次利用锂电池。禁止生产企业安装</w:t>
            </w:r>
            <w:r>
              <w:rPr>
                <w:spacing w:val="-1"/>
                <w:sz w:val="19"/>
                <w:szCs w:val="19"/>
              </w:rPr>
              <w:t>车载充电器。</w:t>
            </w:r>
          </w:p>
        </w:tc>
        <w:tc>
          <w:tcPr>
            <w:tcW w:w="2021" w:type="dxa"/>
            <w:vMerge w:val="restart"/>
            <w:tcBorders>
              <w:bottom w:val="nil"/>
            </w:tcBorders>
            <w:vAlign w:val="center"/>
          </w:tcPr>
          <w:p w14:paraId="493D580F">
            <w:pPr>
              <w:pStyle w:val="6"/>
              <w:keepNext w:val="0"/>
              <w:keepLines w:val="0"/>
              <w:pageBreakBefore w:val="0"/>
              <w:widowControl/>
              <w:kinsoku w:val="0"/>
              <w:wordWrap/>
              <w:overflowPunct/>
              <w:topLinePunct w:val="0"/>
              <w:autoSpaceDE w:val="0"/>
              <w:autoSpaceDN w:val="0"/>
              <w:bidi w:val="0"/>
              <w:adjustRightInd w:val="0"/>
              <w:snapToGrid w:val="0"/>
              <w:spacing w:line="340" w:lineRule="atLeast"/>
              <w:ind w:right="0"/>
              <w:jc w:val="center"/>
              <w:textAlignment w:val="baseline"/>
              <w:rPr>
                <w:sz w:val="19"/>
                <w:szCs w:val="19"/>
              </w:rPr>
            </w:pPr>
            <w:r>
              <w:rPr>
                <w:rFonts w:hint="eastAsia" w:ascii="宋体" w:hAnsi="宋体" w:eastAsia="宋体" w:cs="宋体"/>
                <w:snapToGrid w:val="0"/>
                <w:color w:val="000000"/>
                <w:kern w:val="0"/>
                <w:sz w:val="19"/>
                <w:szCs w:val="19"/>
                <w:lang w:val="en-US" w:eastAsia="zh-CN" w:bidi="ar-SA"/>
              </w:rPr>
              <w:t>县工</w:t>
            </w:r>
            <w:r>
              <w:rPr>
                <w:rFonts w:hint="eastAsia" w:cs="宋体"/>
                <w:snapToGrid w:val="0"/>
                <w:color w:val="000000"/>
                <w:kern w:val="0"/>
                <w:sz w:val="19"/>
                <w:szCs w:val="19"/>
                <w:lang w:val="en-US" w:eastAsia="zh-CN" w:bidi="ar-SA"/>
              </w:rPr>
              <w:t>信</w:t>
            </w:r>
            <w:r>
              <w:rPr>
                <w:rFonts w:hint="eastAsia" w:ascii="宋体" w:hAnsi="宋体" w:eastAsia="宋体" w:cs="宋体"/>
                <w:snapToGrid w:val="0"/>
                <w:color w:val="000000"/>
                <w:kern w:val="0"/>
                <w:sz w:val="19"/>
                <w:szCs w:val="19"/>
                <w:lang w:val="en-US" w:eastAsia="zh-CN" w:bidi="ar-SA"/>
              </w:rPr>
              <w:t>局、县市场监督管理局</w:t>
            </w:r>
          </w:p>
        </w:tc>
        <w:tc>
          <w:tcPr>
            <w:tcW w:w="2190" w:type="dxa"/>
            <w:vMerge w:val="restart"/>
            <w:tcBorders>
              <w:bottom w:val="nil"/>
            </w:tcBorders>
            <w:vAlign w:val="center"/>
          </w:tcPr>
          <w:p w14:paraId="636AFA76">
            <w:pPr>
              <w:pStyle w:val="6"/>
              <w:keepNext w:val="0"/>
              <w:keepLines w:val="0"/>
              <w:pageBreakBefore w:val="0"/>
              <w:widowControl/>
              <w:kinsoku w:val="0"/>
              <w:wordWrap/>
              <w:overflowPunct/>
              <w:topLinePunct w:val="0"/>
              <w:autoSpaceDE w:val="0"/>
              <w:autoSpaceDN w:val="0"/>
              <w:bidi w:val="0"/>
              <w:adjustRightInd w:val="0"/>
              <w:snapToGrid w:val="0"/>
              <w:spacing w:before="61" w:line="340" w:lineRule="atLeast"/>
              <w:ind w:right="74"/>
              <w:jc w:val="center"/>
              <w:textAlignment w:val="baseline"/>
              <w:rPr>
                <w:sz w:val="19"/>
                <w:szCs w:val="19"/>
              </w:rPr>
            </w:pPr>
            <w:r>
              <w:rPr>
                <w:rFonts w:hint="eastAsia"/>
                <w:sz w:val="19"/>
                <w:szCs w:val="19"/>
                <w:lang w:eastAsia="zh-CN"/>
              </w:rPr>
              <w:t>县</w:t>
            </w:r>
            <w:r>
              <w:rPr>
                <w:sz w:val="19"/>
                <w:szCs w:val="19"/>
              </w:rPr>
              <w:t>公安局、</w:t>
            </w:r>
            <w:r>
              <w:rPr>
                <w:rFonts w:hint="eastAsia"/>
                <w:sz w:val="19"/>
                <w:szCs w:val="19"/>
                <w:lang w:eastAsia="zh-CN"/>
              </w:rPr>
              <w:t>县</w:t>
            </w:r>
            <w:r>
              <w:rPr>
                <w:sz w:val="19"/>
                <w:szCs w:val="19"/>
              </w:rPr>
              <w:t>消防救</w:t>
            </w:r>
            <w:r>
              <w:rPr>
                <w:spacing w:val="-2"/>
                <w:sz w:val="19"/>
                <w:szCs w:val="19"/>
              </w:rPr>
              <w:t>援</w:t>
            </w:r>
            <w:r>
              <w:rPr>
                <w:rFonts w:hint="eastAsia"/>
                <w:spacing w:val="-2"/>
                <w:sz w:val="19"/>
                <w:szCs w:val="19"/>
                <w:lang w:eastAsia="zh-CN"/>
              </w:rPr>
              <w:t>大</w:t>
            </w:r>
            <w:r>
              <w:rPr>
                <w:spacing w:val="-2"/>
                <w:sz w:val="19"/>
                <w:szCs w:val="19"/>
              </w:rPr>
              <w:t>队</w:t>
            </w:r>
          </w:p>
        </w:tc>
        <w:tc>
          <w:tcPr>
            <w:tcW w:w="2920" w:type="dxa"/>
            <w:vMerge w:val="restart"/>
            <w:tcBorders>
              <w:bottom w:val="nil"/>
            </w:tcBorders>
            <w:vAlign w:val="center"/>
          </w:tcPr>
          <w:p w14:paraId="410F5C7D">
            <w:pPr>
              <w:pStyle w:val="6"/>
              <w:keepNext w:val="0"/>
              <w:keepLines w:val="0"/>
              <w:pageBreakBefore w:val="0"/>
              <w:widowControl/>
              <w:kinsoku w:val="0"/>
              <w:wordWrap/>
              <w:overflowPunct/>
              <w:topLinePunct w:val="0"/>
              <w:autoSpaceDE w:val="0"/>
              <w:autoSpaceDN w:val="0"/>
              <w:bidi w:val="0"/>
              <w:adjustRightInd w:val="0"/>
              <w:snapToGrid w:val="0"/>
              <w:spacing w:before="61" w:line="340" w:lineRule="atLeast"/>
              <w:jc w:val="center"/>
              <w:textAlignment w:val="baseline"/>
              <w:rPr>
                <w:sz w:val="19"/>
                <w:szCs w:val="19"/>
              </w:rPr>
            </w:pPr>
            <w:r>
              <w:rPr>
                <w:spacing w:val="-1"/>
                <w:sz w:val="19"/>
                <w:szCs w:val="19"/>
              </w:rPr>
              <w:t>2024年底前完成</w:t>
            </w:r>
          </w:p>
        </w:tc>
      </w:tr>
      <w:tr w14:paraId="5D23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194" w:type="dxa"/>
            <w:vMerge w:val="continue"/>
            <w:tcBorders>
              <w:top w:val="nil"/>
              <w:bottom w:val="nil"/>
            </w:tcBorders>
            <w:vAlign w:val="top"/>
          </w:tcPr>
          <w:p w14:paraId="392B3DB3">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5781" w:type="dxa"/>
            <w:gridSpan w:val="2"/>
            <w:vAlign w:val="center"/>
          </w:tcPr>
          <w:p w14:paraId="77FBB58F">
            <w:pPr>
              <w:pStyle w:val="6"/>
              <w:keepNext w:val="0"/>
              <w:keepLines w:val="0"/>
              <w:pageBreakBefore w:val="0"/>
              <w:widowControl/>
              <w:kinsoku w:val="0"/>
              <w:wordWrap/>
              <w:overflowPunct/>
              <w:topLinePunct w:val="0"/>
              <w:autoSpaceDE w:val="0"/>
              <w:autoSpaceDN w:val="0"/>
              <w:bidi w:val="0"/>
              <w:adjustRightInd w:val="0"/>
              <w:snapToGrid w:val="0"/>
              <w:spacing w:before="239" w:line="340" w:lineRule="atLeast"/>
              <w:jc w:val="both"/>
              <w:textAlignment w:val="baseline"/>
              <w:rPr>
                <w:sz w:val="19"/>
                <w:szCs w:val="19"/>
              </w:rPr>
            </w:pPr>
            <w:r>
              <w:rPr>
                <w:sz w:val="19"/>
                <w:szCs w:val="19"/>
              </w:rPr>
              <w:t>1.2督促生产企业落实整车及鞍座、导线绝缘层等部件防火、阻燃性能要求，限制车辆中塑料占比，严格落实电气导线载流能力和蓄电池、控制器、限速器防篡改技术要求，根据车辆限定的最高时速和重量严格限制电机功率，落实整车应内置具备动态安全监</w:t>
            </w:r>
            <w:r>
              <w:rPr>
                <w:spacing w:val="-1"/>
                <w:sz w:val="19"/>
                <w:szCs w:val="19"/>
              </w:rPr>
              <w:t>测功能的北斗定位模块等措施，强化企业质量保障责任</w:t>
            </w:r>
          </w:p>
        </w:tc>
        <w:tc>
          <w:tcPr>
            <w:tcW w:w="2021" w:type="dxa"/>
            <w:vMerge w:val="continue"/>
            <w:tcBorders>
              <w:top w:val="nil"/>
              <w:bottom w:val="nil"/>
            </w:tcBorders>
            <w:vAlign w:val="center"/>
          </w:tcPr>
          <w:p w14:paraId="38B115D5">
            <w:pPr>
              <w:keepNext w:val="0"/>
              <w:keepLines w:val="0"/>
              <w:pageBreakBefore w:val="0"/>
              <w:widowControl/>
              <w:kinsoku w:val="0"/>
              <w:wordWrap/>
              <w:overflowPunct/>
              <w:topLinePunct w:val="0"/>
              <w:autoSpaceDE w:val="0"/>
              <w:autoSpaceDN w:val="0"/>
              <w:bidi w:val="0"/>
              <w:adjustRightInd w:val="0"/>
              <w:snapToGrid w:val="0"/>
              <w:spacing w:line="340" w:lineRule="atLeast"/>
              <w:jc w:val="center"/>
              <w:textAlignment w:val="baseline"/>
              <w:rPr>
                <w:rFonts w:ascii="Arial"/>
                <w:sz w:val="21"/>
              </w:rPr>
            </w:pPr>
          </w:p>
        </w:tc>
        <w:tc>
          <w:tcPr>
            <w:tcW w:w="2190" w:type="dxa"/>
            <w:vMerge w:val="continue"/>
            <w:tcBorders>
              <w:top w:val="nil"/>
              <w:bottom w:val="nil"/>
            </w:tcBorders>
            <w:vAlign w:val="center"/>
          </w:tcPr>
          <w:p w14:paraId="455EF2A1">
            <w:pPr>
              <w:keepNext w:val="0"/>
              <w:keepLines w:val="0"/>
              <w:pageBreakBefore w:val="0"/>
              <w:widowControl/>
              <w:kinsoku w:val="0"/>
              <w:wordWrap/>
              <w:overflowPunct/>
              <w:topLinePunct w:val="0"/>
              <w:autoSpaceDE w:val="0"/>
              <w:autoSpaceDN w:val="0"/>
              <w:bidi w:val="0"/>
              <w:adjustRightInd w:val="0"/>
              <w:snapToGrid w:val="0"/>
              <w:spacing w:line="340" w:lineRule="atLeast"/>
              <w:jc w:val="center"/>
              <w:textAlignment w:val="baseline"/>
              <w:rPr>
                <w:rFonts w:ascii="Arial"/>
                <w:sz w:val="21"/>
              </w:rPr>
            </w:pPr>
          </w:p>
        </w:tc>
        <w:tc>
          <w:tcPr>
            <w:tcW w:w="2920" w:type="dxa"/>
            <w:vMerge w:val="continue"/>
            <w:tcBorders>
              <w:top w:val="nil"/>
            </w:tcBorders>
            <w:vAlign w:val="center"/>
          </w:tcPr>
          <w:p w14:paraId="7F2D879A">
            <w:pPr>
              <w:keepNext w:val="0"/>
              <w:keepLines w:val="0"/>
              <w:pageBreakBefore w:val="0"/>
              <w:widowControl/>
              <w:kinsoku w:val="0"/>
              <w:wordWrap/>
              <w:overflowPunct/>
              <w:topLinePunct w:val="0"/>
              <w:autoSpaceDE w:val="0"/>
              <w:autoSpaceDN w:val="0"/>
              <w:bidi w:val="0"/>
              <w:adjustRightInd w:val="0"/>
              <w:snapToGrid w:val="0"/>
              <w:spacing w:line="340" w:lineRule="atLeast"/>
              <w:jc w:val="center"/>
              <w:textAlignment w:val="baseline"/>
              <w:rPr>
                <w:rFonts w:ascii="Arial"/>
                <w:sz w:val="21"/>
              </w:rPr>
            </w:pPr>
          </w:p>
        </w:tc>
      </w:tr>
      <w:tr w14:paraId="3AD1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94" w:type="dxa"/>
            <w:vMerge w:val="continue"/>
            <w:tcBorders>
              <w:top w:val="nil"/>
              <w:bottom w:val="nil"/>
            </w:tcBorders>
            <w:vAlign w:val="top"/>
          </w:tcPr>
          <w:p w14:paraId="770A0575">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5781" w:type="dxa"/>
            <w:gridSpan w:val="2"/>
            <w:vAlign w:val="center"/>
          </w:tcPr>
          <w:p w14:paraId="406CC13B">
            <w:pPr>
              <w:pStyle w:val="6"/>
              <w:keepNext w:val="0"/>
              <w:keepLines w:val="0"/>
              <w:pageBreakBefore w:val="0"/>
              <w:widowControl/>
              <w:kinsoku w:val="0"/>
              <w:wordWrap/>
              <w:overflowPunct/>
              <w:topLinePunct w:val="0"/>
              <w:autoSpaceDE w:val="0"/>
              <w:autoSpaceDN w:val="0"/>
              <w:bidi w:val="0"/>
              <w:adjustRightInd w:val="0"/>
              <w:snapToGrid w:val="0"/>
              <w:spacing w:before="62" w:line="340" w:lineRule="atLeast"/>
              <w:jc w:val="both"/>
              <w:textAlignment w:val="baseline"/>
              <w:rPr>
                <w:sz w:val="19"/>
                <w:szCs w:val="19"/>
              </w:rPr>
            </w:pPr>
            <w:r>
              <w:rPr>
                <w:spacing w:val="-1"/>
                <w:sz w:val="19"/>
                <w:szCs w:val="19"/>
              </w:rPr>
              <w:t>1.3鼓励研发推广更加安全的新型蓄电池。</w:t>
            </w:r>
          </w:p>
        </w:tc>
        <w:tc>
          <w:tcPr>
            <w:tcW w:w="2021" w:type="dxa"/>
            <w:vMerge w:val="continue"/>
            <w:tcBorders>
              <w:top w:val="nil"/>
            </w:tcBorders>
            <w:vAlign w:val="center"/>
          </w:tcPr>
          <w:p w14:paraId="13B5C621">
            <w:pPr>
              <w:keepNext w:val="0"/>
              <w:keepLines w:val="0"/>
              <w:pageBreakBefore w:val="0"/>
              <w:widowControl/>
              <w:kinsoku w:val="0"/>
              <w:wordWrap/>
              <w:overflowPunct/>
              <w:topLinePunct w:val="0"/>
              <w:autoSpaceDE w:val="0"/>
              <w:autoSpaceDN w:val="0"/>
              <w:bidi w:val="0"/>
              <w:adjustRightInd w:val="0"/>
              <w:snapToGrid w:val="0"/>
              <w:spacing w:line="340" w:lineRule="atLeast"/>
              <w:jc w:val="center"/>
              <w:textAlignment w:val="baseline"/>
              <w:rPr>
                <w:rFonts w:ascii="Arial"/>
                <w:sz w:val="21"/>
              </w:rPr>
            </w:pPr>
          </w:p>
        </w:tc>
        <w:tc>
          <w:tcPr>
            <w:tcW w:w="2190" w:type="dxa"/>
            <w:vMerge w:val="continue"/>
            <w:tcBorders>
              <w:top w:val="nil"/>
            </w:tcBorders>
            <w:vAlign w:val="center"/>
          </w:tcPr>
          <w:p w14:paraId="72D55817">
            <w:pPr>
              <w:keepNext w:val="0"/>
              <w:keepLines w:val="0"/>
              <w:pageBreakBefore w:val="0"/>
              <w:widowControl/>
              <w:kinsoku w:val="0"/>
              <w:wordWrap/>
              <w:overflowPunct/>
              <w:topLinePunct w:val="0"/>
              <w:autoSpaceDE w:val="0"/>
              <w:autoSpaceDN w:val="0"/>
              <w:bidi w:val="0"/>
              <w:adjustRightInd w:val="0"/>
              <w:snapToGrid w:val="0"/>
              <w:spacing w:line="340" w:lineRule="atLeast"/>
              <w:jc w:val="center"/>
              <w:textAlignment w:val="baseline"/>
              <w:rPr>
                <w:rFonts w:ascii="Arial"/>
                <w:sz w:val="21"/>
              </w:rPr>
            </w:pPr>
          </w:p>
        </w:tc>
        <w:tc>
          <w:tcPr>
            <w:tcW w:w="2920" w:type="dxa"/>
            <w:vAlign w:val="center"/>
          </w:tcPr>
          <w:p w14:paraId="4DB52406">
            <w:pPr>
              <w:pStyle w:val="6"/>
              <w:keepNext w:val="0"/>
              <w:keepLines w:val="0"/>
              <w:pageBreakBefore w:val="0"/>
              <w:widowControl/>
              <w:kinsoku w:val="0"/>
              <w:wordWrap/>
              <w:overflowPunct/>
              <w:topLinePunct w:val="0"/>
              <w:autoSpaceDE w:val="0"/>
              <w:autoSpaceDN w:val="0"/>
              <w:bidi w:val="0"/>
              <w:adjustRightInd w:val="0"/>
              <w:snapToGrid w:val="0"/>
              <w:spacing w:before="202" w:line="340" w:lineRule="atLeast"/>
              <w:ind w:left="758" w:right="104" w:hanging="660"/>
              <w:jc w:val="center"/>
              <w:textAlignment w:val="baseline"/>
              <w:rPr>
                <w:sz w:val="19"/>
                <w:szCs w:val="19"/>
              </w:rPr>
            </w:pPr>
            <w:r>
              <w:rPr>
                <w:spacing w:val="-1"/>
                <w:sz w:val="19"/>
                <w:szCs w:val="19"/>
              </w:rPr>
              <w:t>2025年底前持续推</w:t>
            </w:r>
            <w:r>
              <w:rPr>
                <w:sz w:val="19"/>
                <w:szCs w:val="19"/>
              </w:rPr>
              <w:t>进</w:t>
            </w:r>
          </w:p>
        </w:tc>
      </w:tr>
      <w:tr w14:paraId="0CDFC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194" w:type="dxa"/>
            <w:vMerge w:val="continue"/>
            <w:tcBorders>
              <w:top w:val="nil"/>
              <w:bottom w:val="nil"/>
            </w:tcBorders>
            <w:vAlign w:val="top"/>
          </w:tcPr>
          <w:p w14:paraId="3F1E73B4">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5781" w:type="dxa"/>
            <w:gridSpan w:val="2"/>
            <w:vAlign w:val="top"/>
          </w:tcPr>
          <w:p w14:paraId="4101DC4C">
            <w:pPr>
              <w:pStyle w:val="6"/>
              <w:keepNext w:val="0"/>
              <w:keepLines w:val="0"/>
              <w:pageBreakBefore w:val="0"/>
              <w:widowControl/>
              <w:kinsoku w:val="0"/>
              <w:wordWrap/>
              <w:overflowPunct/>
              <w:topLinePunct w:val="0"/>
              <w:autoSpaceDE w:val="0"/>
              <w:autoSpaceDN w:val="0"/>
              <w:bidi w:val="0"/>
              <w:adjustRightInd w:val="0"/>
              <w:snapToGrid w:val="0"/>
              <w:spacing w:before="213" w:line="340" w:lineRule="atLeast"/>
              <w:jc w:val="both"/>
              <w:textAlignment w:val="baseline"/>
              <w:rPr>
                <w:sz w:val="19"/>
                <w:szCs w:val="19"/>
              </w:rPr>
            </w:pPr>
            <w:r>
              <w:rPr>
                <w:sz w:val="19"/>
                <w:szCs w:val="19"/>
              </w:rPr>
              <w:t>2.1持续加强对电动自行车整车、电动自行车用锂离子蓄电池、充电器强制性产品认证活动的监督管理，配合</w:t>
            </w:r>
            <w:r>
              <w:rPr>
                <w:rFonts w:hint="eastAsia"/>
                <w:sz w:val="19"/>
                <w:szCs w:val="19"/>
                <w:lang w:eastAsia="zh-CN"/>
              </w:rPr>
              <w:t>县市</w:t>
            </w:r>
            <w:r>
              <w:rPr>
                <w:sz w:val="19"/>
                <w:szCs w:val="19"/>
              </w:rPr>
              <w:t>场</w:t>
            </w:r>
            <w:r>
              <w:rPr>
                <w:rFonts w:hint="eastAsia"/>
                <w:sz w:val="19"/>
                <w:szCs w:val="19"/>
                <w:lang w:eastAsia="zh-CN"/>
              </w:rPr>
              <w:t>监督管理</w:t>
            </w:r>
            <w:r>
              <w:rPr>
                <w:sz w:val="19"/>
                <w:szCs w:val="19"/>
              </w:rPr>
              <w:t>局做好获证产品认证有效性抽查，对相关违法违规行为依法处罚。</w:t>
            </w:r>
          </w:p>
        </w:tc>
        <w:tc>
          <w:tcPr>
            <w:tcW w:w="2021" w:type="dxa"/>
            <w:vAlign w:val="center"/>
          </w:tcPr>
          <w:p w14:paraId="554A7818">
            <w:pPr>
              <w:pStyle w:val="6"/>
              <w:keepNext w:val="0"/>
              <w:keepLines w:val="0"/>
              <w:pageBreakBefore w:val="0"/>
              <w:widowControl/>
              <w:kinsoku w:val="0"/>
              <w:wordWrap/>
              <w:overflowPunct/>
              <w:topLinePunct w:val="0"/>
              <w:autoSpaceDE w:val="0"/>
              <w:autoSpaceDN w:val="0"/>
              <w:bidi w:val="0"/>
              <w:adjustRightInd w:val="0"/>
              <w:snapToGrid w:val="0"/>
              <w:spacing w:before="62" w:line="340" w:lineRule="atLeast"/>
              <w:jc w:val="center"/>
              <w:textAlignment w:val="baseline"/>
              <w:rPr>
                <w:sz w:val="19"/>
                <w:szCs w:val="19"/>
              </w:rPr>
            </w:pPr>
            <w:r>
              <w:rPr>
                <w:rFonts w:hint="eastAsia"/>
                <w:spacing w:val="2"/>
                <w:sz w:val="19"/>
                <w:szCs w:val="19"/>
                <w:lang w:eastAsia="zh-CN"/>
              </w:rPr>
              <w:t>县</w:t>
            </w:r>
            <w:r>
              <w:rPr>
                <w:spacing w:val="2"/>
                <w:sz w:val="19"/>
                <w:szCs w:val="19"/>
              </w:rPr>
              <w:t>市场监督管理局</w:t>
            </w:r>
          </w:p>
        </w:tc>
        <w:tc>
          <w:tcPr>
            <w:tcW w:w="2190" w:type="dxa"/>
            <w:vAlign w:val="center"/>
          </w:tcPr>
          <w:p w14:paraId="3DA025B0">
            <w:pPr>
              <w:keepNext w:val="0"/>
              <w:keepLines w:val="0"/>
              <w:pageBreakBefore w:val="0"/>
              <w:widowControl/>
              <w:kinsoku w:val="0"/>
              <w:wordWrap/>
              <w:overflowPunct/>
              <w:topLinePunct w:val="0"/>
              <w:autoSpaceDE w:val="0"/>
              <w:autoSpaceDN w:val="0"/>
              <w:bidi w:val="0"/>
              <w:adjustRightInd w:val="0"/>
              <w:snapToGrid w:val="0"/>
              <w:spacing w:line="340" w:lineRule="atLeast"/>
              <w:jc w:val="center"/>
              <w:textAlignment w:val="baseline"/>
              <w:rPr>
                <w:rFonts w:ascii="Arial"/>
                <w:sz w:val="21"/>
              </w:rPr>
            </w:pPr>
          </w:p>
        </w:tc>
        <w:tc>
          <w:tcPr>
            <w:tcW w:w="2920" w:type="dxa"/>
            <w:vAlign w:val="center"/>
          </w:tcPr>
          <w:p w14:paraId="28CF69F2">
            <w:pPr>
              <w:pStyle w:val="6"/>
              <w:keepNext w:val="0"/>
              <w:keepLines w:val="0"/>
              <w:pageBreakBefore w:val="0"/>
              <w:widowControl/>
              <w:kinsoku w:val="0"/>
              <w:wordWrap/>
              <w:overflowPunct/>
              <w:topLinePunct w:val="0"/>
              <w:autoSpaceDE w:val="0"/>
              <w:autoSpaceDN w:val="0"/>
              <w:bidi w:val="0"/>
              <w:adjustRightInd w:val="0"/>
              <w:snapToGrid w:val="0"/>
              <w:spacing w:before="243" w:line="340" w:lineRule="atLeast"/>
              <w:ind w:left="98"/>
              <w:jc w:val="center"/>
              <w:textAlignment w:val="baseline"/>
              <w:rPr>
                <w:sz w:val="19"/>
                <w:szCs w:val="19"/>
              </w:rPr>
            </w:pPr>
            <w:r>
              <w:rPr>
                <w:spacing w:val="-1"/>
                <w:sz w:val="19"/>
                <w:szCs w:val="19"/>
              </w:rPr>
              <w:t>2024年底前取得阶段性进展并持续推</w:t>
            </w:r>
            <w:r>
              <w:rPr>
                <w:sz w:val="19"/>
                <w:szCs w:val="19"/>
              </w:rPr>
              <w:t>进</w:t>
            </w:r>
          </w:p>
        </w:tc>
      </w:tr>
      <w:tr w14:paraId="20E45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194" w:type="dxa"/>
            <w:vMerge w:val="continue"/>
            <w:tcBorders>
              <w:top w:val="nil"/>
              <w:bottom w:val="nil"/>
            </w:tcBorders>
            <w:vAlign w:val="top"/>
          </w:tcPr>
          <w:p w14:paraId="53A612F5">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5781" w:type="dxa"/>
            <w:gridSpan w:val="2"/>
            <w:vAlign w:val="top"/>
          </w:tcPr>
          <w:p w14:paraId="60E31431">
            <w:pPr>
              <w:pStyle w:val="6"/>
              <w:keepNext w:val="0"/>
              <w:keepLines w:val="0"/>
              <w:pageBreakBefore w:val="0"/>
              <w:widowControl/>
              <w:kinsoku w:val="0"/>
              <w:wordWrap/>
              <w:overflowPunct/>
              <w:topLinePunct w:val="0"/>
              <w:autoSpaceDE w:val="0"/>
              <w:autoSpaceDN w:val="0"/>
              <w:bidi w:val="0"/>
              <w:adjustRightInd w:val="0"/>
              <w:snapToGrid w:val="0"/>
              <w:spacing w:before="222" w:line="340" w:lineRule="atLeast"/>
              <w:jc w:val="both"/>
              <w:textAlignment w:val="baseline"/>
              <w:rPr>
                <w:sz w:val="19"/>
                <w:szCs w:val="19"/>
              </w:rPr>
            </w:pPr>
            <w:r>
              <w:rPr>
                <w:spacing w:val="2"/>
                <w:sz w:val="19"/>
                <w:szCs w:val="19"/>
              </w:rPr>
              <w:t>3.1落实国家标准的互认协同要求，推行“一车一池一充一</w:t>
            </w:r>
            <w:r>
              <w:rPr>
                <w:spacing w:val="1"/>
                <w:sz w:val="19"/>
                <w:szCs w:val="19"/>
              </w:rPr>
              <w:t>码”,</w:t>
            </w:r>
            <w:r>
              <w:rPr>
                <w:sz w:val="19"/>
                <w:szCs w:val="19"/>
              </w:rPr>
              <w:t>明确电动自行车车架、蓄电池、充电器明显位置应设置永久性耐高温识别代码标识。</w:t>
            </w:r>
          </w:p>
        </w:tc>
        <w:tc>
          <w:tcPr>
            <w:tcW w:w="2021" w:type="dxa"/>
            <w:vMerge w:val="restart"/>
            <w:tcBorders>
              <w:bottom w:val="nil"/>
            </w:tcBorders>
            <w:vAlign w:val="center"/>
          </w:tcPr>
          <w:p w14:paraId="38A66897">
            <w:pPr>
              <w:pStyle w:val="6"/>
              <w:keepNext w:val="0"/>
              <w:keepLines w:val="0"/>
              <w:pageBreakBefore w:val="0"/>
              <w:widowControl/>
              <w:kinsoku w:val="0"/>
              <w:wordWrap/>
              <w:overflowPunct/>
              <w:topLinePunct w:val="0"/>
              <w:autoSpaceDE w:val="0"/>
              <w:autoSpaceDN w:val="0"/>
              <w:bidi w:val="0"/>
              <w:adjustRightInd w:val="0"/>
              <w:snapToGrid w:val="0"/>
              <w:spacing w:before="62" w:line="340" w:lineRule="atLeast"/>
              <w:jc w:val="center"/>
              <w:textAlignment w:val="baseline"/>
              <w:rPr>
                <w:sz w:val="19"/>
                <w:szCs w:val="19"/>
              </w:rPr>
            </w:pPr>
            <w:r>
              <w:rPr>
                <w:rFonts w:hint="eastAsia" w:ascii="宋体" w:hAnsi="宋体" w:eastAsia="宋体" w:cs="宋体"/>
                <w:spacing w:val="2"/>
                <w:sz w:val="19"/>
                <w:szCs w:val="19"/>
                <w:lang w:eastAsia="zh-CN"/>
              </w:rPr>
              <w:t>县工信局</w:t>
            </w:r>
          </w:p>
        </w:tc>
        <w:tc>
          <w:tcPr>
            <w:tcW w:w="2190" w:type="dxa"/>
            <w:vMerge w:val="restart"/>
            <w:tcBorders>
              <w:bottom w:val="nil"/>
            </w:tcBorders>
            <w:vAlign w:val="center"/>
          </w:tcPr>
          <w:p w14:paraId="709FD702">
            <w:pPr>
              <w:pStyle w:val="6"/>
              <w:keepNext w:val="0"/>
              <w:keepLines w:val="0"/>
              <w:pageBreakBefore w:val="0"/>
              <w:widowControl/>
              <w:kinsoku w:val="0"/>
              <w:wordWrap/>
              <w:overflowPunct/>
              <w:topLinePunct w:val="0"/>
              <w:autoSpaceDE w:val="0"/>
              <w:autoSpaceDN w:val="0"/>
              <w:bidi w:val="0"/>
              <w:adjustRightInd w:val="0"/>
              <w:snapToGrid w:val="0"/>
              <w:spacing w:before="62" w:line="340" w:lineRule="atLeast"/>
              <w:jc w:val="center"/>
              <w:textAlignment w:val="baseline"/>
              <w:rPr>
                <w:sz w:val="19"/>
                <w:szCs w:val="19"/>
              </w:rPr>
            </w:pPr>
            <w:r>
              <w:rPr>
                <w:rFonts w:hint="eastAsia"/>
                <w:spacing w:val="2"/>
                <w:sz w:val="19"/>
                <w:szCs w:val="19"/>
                <w:lang w:eastAsia="zh-CN"/>
              </w:rPr>
              <w:t>县</w:t>
            </w:r>
            <w:r>
              <w:rPr>
                <w:spacing w:val="2"/>
                <w:sz w:val="19"/>
                <w:szCs w:val="19"/>
              </w:rPr>
              <w:t>市场监督管理局</w:t>
            </w:r>
          </w:p>
        </w:tc>
        <w:tc>
          <w:tcPr>
            <w:tcW w:w="2920" w:type="dxa"/>
            <w:vAlign w:val="center"/>
          </w:tcPr>
          <w:p w14:paraId="5CB85515">
            <w:pPr>
              <w:pStyle w:val="6"/>
              <w:keepNext w:val="0"/>
              <w:keepLines w:val="0"/>
              <w:pageBreakBefore w:val="0"/>
              <w:widowControl/>
              <w:kinsoku w:val="0"/>
              <w:wordWrap/>
              <w:overflowPunct/>
              <w:topLinePunct w:val="0"/>
              <w:autoSpaceDE w:val="0"/>
              <w:autoSpaceDN w:val="0"/>
              <w:bidi w:val="0"/>
              <w:adjustRightInd w:val="0"/>
              <w:snapToGrid w:val="0"/>
              <w:spacing w:before="204" w:line="340" w:lineRule="atLeast"/>
              <w:ind w:left="98"/>
              <w:jc w:val="center"/>
              <w:textAlignment w:val="baseline"/>
              <w:rPr>
                <w:sz w:val="19"/>
                <w:szCs w:val="19"/>
              </w:rPr>
            </w:pPr>
            <w:r>
              <w:rPr>
                <w:spacing w:val="-1"/>
                <w:sz w:val="19"/>
                <w:szCs w:val="19"/>
              </w:rPr>
              <w:t>2024年底前取得阶段性进展并持续推</w:t>
            </w:r>
            <w:r>
              <w:rPr>
                <w:sz w:val="19"/>
                <w:szCs w:val="19"/>
              </w:rPr>
              <w:t>进</w:t>
            </w:r>
          </w:p>
        </w:tc>
      </w:tr>
      <w:tr w14:paraId="471B6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94" w:type="dxa"/>
            <w:vMerge w:val="continue"/>
            <w:tcBorders>
              <w:top w:val="nil"/>
            </w:tcBorders>
            <w:vAlign w:val="top"/>
          </w:tcPr>
          <w:p w14:paraId="377E5833">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5781" w:type="dxa"/>
            <w:gridSpan w:val="2"/>
            <w:vAlign w:val="top"/>
          </w:tcPr>
          <w:p w14:paraId="1F704E54">
            <w:pPr>
              <w:pStyle w:val="6"/>
              <w:keepNext w:val="0"/>
              <w:keepLines w:val="0"/>
              <w:pageBreakBefore w:val="0"/>
              <w:widowControl/>
              <w:kinsoku w:val="0"/>
              <w:wordWrap/>
              <w:overflowPunct/>
              <w:topLinePunct w:val="0"/>
              <w:autoSpaceDE w:val="0"/>
              <w:autoSpaceDN w:val="0"/>
              <w:bidi w:val="0"/>
              <w:adjustRightInd w:val="0"/>
              <w:snapToGrid w:val="0"/>
              <w:spacing w:before="74" w:line="340" w:lineRule="atLeast"/>
              <w:ind w:right="215"/>
              <w:jc w:val="both"/>
              <w:textAlignment w:val="baseline"/>
              <w:rPr>
                <w:sz w:val="19"/>
                <w:szCs w:val="19"/>
              </w:rPr>
            </w:pPr>
            <w:r>
              <w:rPr>
                <w:sz w:val="19"/>
                <w:szCs w:val="19"/>
              </w:rPr>
              <w:t>3.2督促认证机构加强CCC获证企业生产一致性检查，落实相关国家标准的电动自行车控制器、蓄电池、充电器互认协同要求。</w:t>
            </w:r>
          </w:p>
        </w:tc>
        <w:tc>
          <w:tcPr>
            <w:tcW w:w="2021" w:type="dxa"/>
            <w:vMerge w:val="continue"/>
            <w:tcBorders>
              <w:top w:val="nil"/>
            </w:tcBorders>
            <w:vAlign w:val="top"/>
          </w:tcPr>
          <w:p w14:paraId="761F55F0">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2190" w:type="dxa"/>
            <w:vMerge w:val="continue"/>
            <w:tcBorders>
              <w:top w:val="nil"/>
            </w:tcBorders>
            <w:vAlign w:val="top"/>
          </w:tcPr>
          <w:p w14:paraId="76EDC7E5">
            <w:pPr>
              <w:keepNext w:val="0"/>
              <w:keepLines w:val="0"/>
              <w:pageBreakBefore w:val="0"/>
              <w:widowControl/>
              <w:kinsoku w:val="0"/>
              <w:wordWrap/>
              <w:overflowPunct/>
              <w:topLinePunct w:val="0"/>
              <w:autoSpaceDE w:val="0"/>
              <w:autoSpaceDN w:val="0"/>
              <w:bidi w:val="0"/>
              <w:adjustRightInd w:val="0"/>
              <w:snapToGrid w:val="0"/>
              <w:spacing w:line="340" w:lineRule="atLeast"/>
              <w:jc w:val="both"/>
              <w:textAlignment w:val="baseline"/>
              <w:rPr>
                <w:rFonts w:ascii="Arial"/>
                <w:sz w:val="21"/>
              </w:rPr>
            </w:pPr>
          </w:p>
        </w:tc>
        <w:tc>
          <w:tcPr>
            <w:tcW w:w="2920" w:type="dxa"/>
            <w:vAlign w:val="center"/>
          </w:tcPr>
          <w:p w14:paraId="39245991">
            <w:pPr>
              <w:pStyle w:val="6"/>
              <w:keepNext w:val="0"/>
              <w:keepLines w:val="0"/>
              <w:pageBreakBefore w:val="0"/>
              <w:widowControl/>
              <w:kinsoku w:val="0"/>
              <w:wordWrap/>
              <w:overflowPunct/>
              <w:topLinePunct w:val="0"/>
              <w:autoSpaceDE w:val="0"/>
              <w:autoSpaceDN w:val="0"/>
              <w:bidi w:val="0"/>
              <w:adjustRightInd w:val="0"/>
              <w:snapToGrid w:val="0"/>
              <w:spacing w:before="145" w:line="340" w:lineRule="atLeast"/>
              <w:jc w:val="center"/>
              <w:textAlignment w:val="baseline"/>
              <w:rPr>
                <w:sz w:val="19"/>
                <w:szCs w:val="19"/>
              </w:rPr>
            </w:pPr>
            <w:r>
              <w:rPr>
                <w:spacing w:val="-2"/>
                <w:sz w:val="19"/>
                <w:szCs w:val="19"/>
              </w:rPr>
              <w:t>长期坚持</w:t>
            </w:r>
          </w:p>
        </w:tc>
      </w:tr>
      <w:tr w14:paraId="7EF19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1194" w:type="dxa"/>
            <w:vMerge w:val="restart"/>
            <w:vAlign w:val="center"/>
          </w:tcPr>
          <w:p w14:paraId="4BCA6AAB">
            <w:pPr>
              <w:pStyle w:val="6"/>
              <w:keepNext w:val="0"/>
              <w:keepLines w:val="0"/>
              <w:pageBreakBefore w:val="0"/>
              <w:widowControl/>
              <w:kinsoku w:val="0"/>
              <w:wordWrap/>
              <w:overflowPunct/>
              <w:topLinePunct w:val="0"/>
              <w:autoSpaceDE w:val="0"/>
              <w:autoSpaceDN w:val="0"/>
              <w:bidi w:val="0"/>
              <w:adjustRightInd w:val="0"/>
              <w:snapToGrid w:val="0"/>
              <w:spacing w:before="23" w:line="432" w:lineRule="auto"/>
              <w:ind w:left="204"/>
              <w:jc w:val="both"/>
              <w:textAlignment w:val="baseline"/>
              <w:rPr>
                <w:sz w:val="19"/>
                <w:szCs w:val="19"/>
              </w:rPr>
            </w:pPr>
            <w:r>
              <w:rPr>
                <w:spacing w:val="3"/>
                <w:sz w:val="19"/>
                <w:szCs w:val="19"/>
              </w:rPr>
              <w:t>(二)着力</w:t>
            </w:r>
          </w:p>
          <w:p w14:paraId="0019D006">
            <w:pPr>
              <w:pStyle w:val="6"/>
              <w:keepNext w:val="0"/>
              <w:keepLines w:val="0"/>
              <w:pageBreakBefore w:val="0"/>
              <w:widowControl/>
              <w:kinsoku w:val="0"/>
              <w:wordWrap/>
              <w:overflowPunct/>
              <w:topLinePunct w:val="0"/>
              <w:autoSpaceDE w:val="0"/>
              <w:autoSpaceDN w:val="0"/>
              <w:bidi w:val="0"/>
              <w:adjustRightInd w:val="0"/>
              <w:snapToGrid w:val="0"/>
              <w:spacing w:before="14" w:line="432" w:lineRule="auto"/>
              <w:ind w:left="104"/>
              <w:jc w:val="both"/>
              <w:textAlignment w:val="baseline"/>
              <w:rPr>
                <w:sz w:val="19"/>
                <w:szCs w:val="19"/>
              </w:rPr>
            </w:pPr>
            <w:r>
              <w:rPr>
                <w:spacing w:val="-2"/>
                <w:sz w:val="19"/>
                <w:szCs w:val="19"/>
              </w:rPr>
              <w:t>解决违法违</w:t>
            </w:r>
          </w:p>
          <w:p w14:paraId="62C31B28">
            <w:pPr>
              <w:pStyle w:val="6"/>
              <w:keepNext w:val="0"/>
              <w:keepLines w:val="0"/>
              <w:pageBreakBefore w:val="0"/>
              <w:widowControl/>
              <w:kinsoku w:val="0"/>
              <w:wordWrap/>
              <w:overflowPunct/>
              <w:topLinePunct w:val="0"/>
              <w:autoSpaceDE w:val="0"/>
              <w:autoSpaceDN w:val="0"/>
              <w:bidi w:val="0"/>
              <w:adjustRightInd w:val="0"/>
              <w:snapToGrid w:val="0"/>
              <w:spacing w:before="24" w:line="432" w:lineRule="auto"/>
              <w:ind w:left="104"/>
              <w:jc w:val="both"/>
              <w:textAlignment w:val="baseline"/>
              <w:rPr>
                <w:sz w:val="19"/>
                <w:szCs w:val="19"/>
              </w:rPr>
            </w:pPr>
            <w:r>
              <w:rPr>
                <w:spacing w:val="-2"/>
                <w:sz w:val="19"/>
                <w:szCs w:val="19"/>
              </w:rPr>
              <w:t>规生产销售</w:t>
            </w:r>
          </w:p>
          <w:p w14:paraId="08DA75A0">
            <w:pPr>
              <w:keepNext w:val="0"/>
              <w:keepLines w:val="0"/>
              <w:pageBreakBefore w:val="0"/>
              <w:widowControl/>
              <w:kinsoku w:val="0"/>
              <w:wordWrap/>
              <w:overflowPunct/>
              <w:topLinePunct w:val="0"/>
              <w:autoSpaceDE w:val="0"/>
              <w:autoSpaceDN w:val="0"/>
              <w:bidi w:val="0"/>
              <w:adjustRightInd w:val="0"/>
              <w:snapToGrid w:val="0"/>
              <w:spacing w:line="432" w:lineRule="auto"/>
              <w:jc w:val="both"/>
              <w:textAlignment w:val="baseline"/>
              <w:rPr>
                <w:rFonts w:ascii="Arial"/>
                <w:sz w:val="21"/>
              </w:rPr>
            </w:pPr>
            <w:r>
              <w:rPr>
                <w:spacing w:val="4"/>
                <w:sz w:val="19"/>
                <w:szCs w:val="19"/>
              </w:rPr>
              <w:t>问题</w:t>
            </w:r>
          </w:p>
        </w:tc>
        <w:tc>
          <w:tcPr>
            <w:tcW w:w="5781" w:type="dxa"/>
            <w:gridSpan w:val="2"/>
            <w:vAlign w:val="center"/>
          </w:tcPr>
          <w:p w14:paraId="2F64A39E">
            <w:pPr>
              <w:pStyle w:val="6"/>
              <w:keepNext w:val="0"/>
              <w:keepLines w:val="0"/>
              <w:pageBreakBefore w:val="0"/>
              <w:widowControl/>
              <w:kinsoku w:val="0"/>
              <w:wordWrap/>
              <w:overflowPunct/>
              <w:topLinePunct w:val="0"/>
              <w:autoSpaceDE w:val="0"/>
              <w:autoSpaceDN w:val="0"/>
              <w:bidi w:val="0"/>
              <w:adjustRightInd w:val="0"/>
              <w:snapToGrid w:val="0"/>
              <w:spacing w:before="84" w:line="432" w:lineRule="auto"/>
              <w:jc w:val="both"/>
              <w:textAlignment w:val="baseline"/>
              <w:rPr>
                <w:sz w:val="19"/>
                <w:szCs w:val="19"/>
              </w:rPr>
            </w:pPr>
            <w:r>
              <w:rPr>
                <w:sz w:val="19"/>
                <w:szCs w:val="19"/>
              </w:rPr>
              <w:t>4.做好企业规范公告申请的受理、核实和报送</w:t>
            </w:r>
            <w:r>
              <w:rPr>
                <w:spacing w:val="-1"/>
                <w:sz w:val="19"/>
                <w:szCs w:val="19"/>
              </w:rPr>
              <w:t>工作，建立生产企</w:t>
            </w:r>
            <w:r>
              <w:rPr>
                <w:sz w:val="19"/>
                <w:szCs w:val="19"/>
              </w:rPr>
              <w:t>业“正面清单”目录并实施动态管理。鼓励相</w:t>
            </w:r>
            <w:r>
              <w:rPr>
                <w:spacing w:val="-1"/>
                <w:sz w:val="19"/>
                <w:szCs w:val="19"/>
              </w:rPr>
              <w:t>关行业协会组织企业加强行业自律，引导企业依法从事生产经营活动。</w:t>
            </w:r>
          </w:p>
        </w:tc>
        <w:tc>
          <w:tcPr>
            <w:tcW w:w="2021" w:type="dxa"/>
            <w:vAlign w:val="center"/>
          </w:tcPr>
          <w:p w14:paraId="548EFA3F">
            <w:pPr>
              <w:pStyle w:val="6"/>
              <w:keepNext w:val="0"/>
              <w:keepLines w:val="0"/>
              <w:pageBreakBefore w:val="0"/>
              <w:widowControl/>
              <w:kinsoku w:val="0"/>
              <w:wordWrap/>
              <w:overflowPunct/>
              <w:topLinePunct w:val="0"/>
              <w:autoSpaceDE w:val="0"/>
              <w:autoSpaceDN w:val="0"/>
              <w:bidi w:val="0"/>
              <w:adjustRightInd w:val="0"/>
              <w:snapToGrid w:val="0"/>
              <w:spacing w:before="266" w:line="432" w:lineRule="auto"/>
              <w:jc w:val="center"/>
              <w:textAlignment w:val="baseline"/>
              <w:rPr>
                <w:sz w:val="19"/>
                <w:szCs w:val="19"/>
              </w:rPr>
            </w:pPr>
            <w:r>
              <w:rPr>
                <w:rFonts w:hint="eastAsia" w:ascii="宋体" w:hAnsi="宋体" w:eastAsia="宋体" w:cs="宋体"/>
                <w:spacing w:val="2"/>
                <w:sz w:val="19"/>
                <w:szCs w:val="19"/>
                <w:lang w:eastAsia="zh-CN"/>
              </w:rPr>
              <w:t>县工信局</w:t>
            </w:r>
          </w:p>
        </w:tc>
        <w:tc>
          <w:tcPr>
            <w:tcW w:w="2190" w:type="dxa"/>
            <w:vAlign w:val="center"/>
          </w:tcPr>
          <w:p w14:paraId="5047F190">
            <w:pPr>
              <w:pStyle w:val="6"/>
              <w:keepNext w:val="0"/>
              <w:keepLines w:val="0"/>
              <w:pageBreakBefore w:val="0"/>
              <w:widowControl/>
              <w:kinsoku w:val="0"/>
              <w:wordWrap/>
              <w:overflowPunct/>
              <w:topLinePunct w:val="0"/>
              <w:autoSpaceDE w:val="0"/>
              <w:autoSpaceDN w:val="0"/>
              <w:bidi w:val="0"/>
              <w:adjustRightInd w:val="0"/>
              <w:snapToGrid w:val="0"/>
              <w:spacing w:line="340" w:lineRule="atLeast"/>
              <w:ind w:left="289" w:right="0" w:hanging="289"/>
              <w:jc w:val="center"/>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县市场监督管理局、各镇人民政府</w:t>
            </w:r>
          </w:p>
        </w:tc>
        <w:tc>
          <w:tcPr>
            <w:tcW w:w="2920" w:type="dxa"/>
            <w:vAlign w:val="center"/>
          </w:tcPr>
          <w:p w14:paraId="505DB823">
            <w:pPr>
              <w:pStyle w:val="6"/>
              <w:keepNext w:val="0"/>
              <w:keepLines w:val="0"/>
              <w:pageBreakBefore w:val="0"/>
              <w:widowControl/>
              <w:kinsoku w:val="0"/>
              <w:wordWrap/>
              <w:overflowPunct/>
              <w:topLinePunct w:val="0"/>
              <w:autoSpaceDE w:val="0"/>
              <w:autoSpaceDN w:val="0"/>
              <w:bidi w:val="0"/>
              <w:adjustRightInd w:val="0"/>
              <w:snapToGrid w:val="0"/>
              <w:spacing w:before="266" w:line="432" w:lineRule="auto"/>
              <w:jc w:val="center"/>
              <w:textAlignment w:val="baseline"/>
              <w:rPr>
                <w:sz w:val="19"/>
                <w:szCs w:val="19"/>
              </w:rPr>
            </w:pPr>
            <w:r>
              <w:rPr>
                <w:spacing w:val="-1"/>
                <w:sz w:val="19"/>
                <w:szCs w:val="19"/>
              </w:rPr>
              <w:t>2024年底前完成</w:t>
            </w:r>
          </w:p>
        </w:tc>
      </w:tr>
      <w:tr w14:paraId="6355E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194" w:type="dxa"/>
            <w:vMerge w:val="continue"/>
            <w:vAlign w:val="center"/>
          </w:tcPr>
          <w:p w14:paraId="0507CD1F">
            <w:pPr>
              <w:keepNext w:val="0"/>
              <w:keepLines w:val="0"/>
              <w:pageBreakBefore w:val="0"/>
              <w:widowControl/>
              <w:kinsoku w:val="0"/>
              <w:wordWrap/>
              <w:overflowPunct/>
              <w:topLinePunct w:val="0"/>
              <w:autoSpaceDE w:val="0"/>
              <w:autoSpaceDN w:val="0"/>
              <w:bidi w:val="0"/>
              <w:adjustRightInd w:val="0"/>
              <w:snapToGrid w:val="0"/>
              <w:spacing w:line="432" w:lineRule="auto"/>
              <w:jc w:val="both"/>
              <w:textAlignment w:val="baseline"/>
              <w:rPr>
                <w:rFonts w:ascii="Arial"/>
                <w:sz w:val="21"/>
              </w:rPr>
            </w:pPr>
          </w:p>
        </w:tc>
        <w:tc>
          <w:tcPr>
            <w:tcW w:w="5781" w:type="dxa"/>
            <w:gridSpan w:val="2"/>
            <w:vAlign w:val="center"/>
          </w:tcPr>
          <w:p w14:paraId="626D9C8F">
            <w:pPr>
              <w:pStyle w:val="6"/>
              <w:keepNext w:val="0"/>
              <w:keepLines w:val="0"/>
              <w:pageBreakBefore w:val="0"/>
              <w:widowControl/>
              <w:kinsoku w:val="0"/>
              <w:wordWrap/>
              <w:overflowPunct/>
              <w:topLinePunct w:val="0"/>
              <w:autoSpaceDE w:val="0"/>
              <w:autoSpaceDN w:val="0"/>
              <w:bidi w:val="0"/>
              <w:adjustRightInd w:val="0"/>
              <w:snapToGrid w:val="0"/>
              <w:spacing w:before="76" w:line="432" w:lineRule="auto"/>
              <w:ind w:right="310"/>
              <w:jc w:val="both"/>
              <w:textAlignment w:val="baseline"/>
              <w:rPr>
                <w:sz w:val="19"/>
                <w:szCs w:val="19"/>
              </w:rPr>
            </w:pPr>
            <w:r>
              <w:rPr>
                <w:sz w:val="19"/>
                <w:szCs w:val="19"/>
              </w:rPr>
              <w:t>5.常态化开展电动自行车及蓄电池、充电器等核心部件质量抽</w:t>
            </w:r>
            <w:r>
              <w:rPr>
                <w:spacing w:val="-1"/>
                <w:sz w:val="19"/>
                <w:szCs w:val="19"/>
              </w:rPr>
              <w:t>查，依法处罚未经强制性产品认证出厂、销售、进口等违法行为，情节严重的吊销营业执照；加强缺陷产品召回，拒不实施</w:t>
            </w:r>
          </w:p>
        </w:tc>
        <w:tc>
          <w:tcPr>
            <w:tcW w:w="2021" w:type="dxa"/>
            <w:vAlign w:val="center"/>
          </w:tcPr>
          <w:p w14:paraId="4EA67E1C">
            <w:pPr>
              <w:pStyle w:val="6"/>
              <w:keepNext w:val="0"/>
              <w:keepLines w:val="0"/>
              <w:pageBreakBefore w:val="0"/>
              <w:widowControl/>
              <w:kinsoku w:val="0"/>
              <w:wordWrap/>
              <w:overflowPunct/>
              <w:topLinePunct w:val="0"/>
              <w:autoSpaceDE w:val="0"/>
              <w:autoSpaceDN w:val="0"/>
              <w:bidi w:val="0"/>
              <w:adjustRightInd w:val="0"/>
              <w:snapToGrid w:val="0"/>
              <w:spacing w:before="267" w:line="432" w:lineRule="auto"/>
              <w:jc w:val="center"/>
              <w:textAlignment w:val="baseline"/>
              <w:rPr>
                <w:sz w:val="19"/>
                <w:szCs w:val="19"/>
              </w:rPr>
            </w:pPr>
            <w:r>
              <w:rPr>
                <w:rFonts w:hint="eastAsia"/>
                <w:spacing w:val="2"/>
                <w:sz w:val="19"/>
                <w:szCs w:val="19"/>
                <w:lang w:eastAsia="zh-CN"/>
              </w:rPr>
              <w:t>县市</w:t>
            </w:r>
            <w:r>
              <w:rPr>
                <w:spacing w:val="2"/>
                <w:sz w:val="19"/>
                <w:szCs w:val="19"/>
              </w:rPr>
              <w:t>场监督管理局</w:t>
            </w:r>
          </w:p>
        </w:tc>
        <w:tc>
          <w:tcPr>
            <w:tcW w:w="2190" w:type="dxa"/>
            <w:vAlign w:val="center"/>
          </w:tcPr>
          <w:p w14:paraId="11138F6B">
            <w:pPr>
              <w:pStyle w:val="6"/>
              <w:keepNext w:val="0"/>
              <w:keepLines w:val="0"/>
              <w:pageBreakBefore w:val="0"/>
              <w:widowControl/>
              <w:kinsoku w:val="0"/>
              <w:wordWrap/>
              <w:overflowPunct/>
              <w:topLinePunct w:val="0"/>
              <w:autoSpaceDE w:val="0"/>
              <w:autoSpaceDN w:val="0"/>
              <w:bidi w:val="0"/>
              <w:adjustRightInd w:val="0"/>
              <w:snapToGrid w:val="0"/>
              <w:spacing w:before="267" w:line="432" w:lineRule="auto"/>
              <w:jc w:val="center"/>
              <w:textAlignment w:val="baseline"/>
              <w:rPr>
                <w:sz w:val="19"/>
                <w:szCs w:val="19"/>
              </w:rPr>
            </w:pPr>
            <w:r>
              <w:rPr>
                <w:rFonts w:hint="eastAsia" w:ascii="宋体" w:hAnsi="宋体" w:eastAsia="宋体" w:cs="宋体"/>
                <w:snapToGrid w:val="0"/>
                <w:color w:val="000000"/>
                <w:kern w:val="0"/>
                <w:sz w:val="19"/>
                <w:szCs w:val="19"/>
                <w:lang w:val="en-US" w:eastAsia="zh-CN" w:bidi="ar-SA"/>
              </w:rPr>
              <w:t>县工信局、各镇人民政府</w:t>
            </w:r>
          </w:p>
        </w:tc>
        <w:tc>
          <w:tcPr>
            <w:tcW w:w="2920" w:type="dxa"/>
            <w:vAlign w:val="center"/>
          </w:tcPr>
          <w:p w14:paraId="0ABE85E6">
            <w:pPr>
              <w:pStyle w:val="6"/>
              <w:keepNext w:val="0"/>
              <w:keepLines w:val="0"/>
              <w:pageBreakBefore w:val="0"/>
              <w:widowControl/>
              <w:kinsoku w:val="0"/>
              <w:wordWrap/>
              <w:overflowPunct/>
              <w:topLinePunct w:val="0"/>
              <w:autoSpaceDE w:val="0"/>
              <w:autoSpaceDN w:val="0"/>
              <w:bidi w:val="0"/>
              <w:adjustRightInd w:val="0"/>
              <w:snapToGrid w:val="0"/>
              <w:spacing w:before="67" w:line="432" w:lineRule="auto"/>
              <w:ind w:left="98"/>
              <w:jc w:val="center"/>
              <w:textAlignment w:val="baseline"/>
              <w:rPr>
                <w:sz w:val="19"/>
                <w:szCs w:val="19"/>
              </w:rPr>
            </w:pPr>
            <w:r>
              <w:rPr>
                <w:spacing w:val="-1"/>
                <w:sz w:val="19"/>
                <w:szCs w:val="19"/>
              </w:rPr>
              <w:t>2024年底前取得阶段性进展并持续推</w:t>
            </w:r>
            <w:r>
              <w:rPr>
                <w:sz w:val="19"/>
                <w:szCs w:val="19"/>
              </w:rPr>
              <w:t>进</w:t>
            </w:r>
          </w:p>
        </w:tc>
      </w:tr>
      <w:tr w14:paraId="3A96D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94" w:type="dxa"/>
            <w:vMerge w:val="continue"/>
            <w:vAlign w:val="center"/>
          </w:tcPr>
          <w:p w14:paraId="472EAEEC">
            <w:pPr>
              <w:pStyle w:val="6"/>
              <w:keepNext w:val="0"/>
              <w:keepLines w:val="0"/>
              <w:pageBreakBefore w:val="0"/>
              <w:widowControl/>
              <w:kinsoku w:val="0"/>
              <w:wordWrap/>
              <w:overflowPunct/>
              <w:topLinePunct w:val="0"/>
              <w:autoSpaceDE w:val="0"/>
              <w:autoSpaceDN w:val="0"/>
              <w:bidi w:val="0"/>
              <w:adjustRightInd w:val="0"/>
              <w:snapToGrid w:val="0"/>
              <w:spacing w:before="17" w:line="432" w:lineRule="auto"/>
              <w:ind w:left="395"/>
              <w:jc w:val="both"/>
              <w:textAlignment w:val="baseline"/>
              <w:rPr>
                <w:sz w:val="19"/>
                <w:szCs w:val="19"/>
              </w:rPr>
            </w:pPr>
          </w:p>
        </w:tc>
        <w:tc>
          <w:tcPr>
            <w:tcW w:w="5766" w:type="dxa"/>
            <w:tcBorders>
              <w:top w:val="single" w:color="auto" w:sz="4" w:space="0"/>
            </w:tcBorders>
            <w:vAlign w:val="center"/>
          </w:tcPr>
          <w:p w14:paraId="40662A11">
            <w:pPr>
              <w:pStyle w:val="6"/>
              <w:keepNext w:val="0"/>
              <w:keepLines w:val="0"/>
              <w:pageBreakBefore w:val="0"/>
              <w:widowControl/>
              <w:kinsoku w:val="0"/>
              <w:wordWrap/>
              <w:overflowPunct/>
              <w:topLinePunct w:val="0"/>
              <w:autoSpaceDE w:val="0"/>
              <w:autoSpaceDN w:val="0"/>
              <w:bidi w:val="0"/>
              <w:adjustRightInd w:val="0"/>
              <w:snapToGrid w:val="0"/>
              <w:spacing w:before="11" w:line="432" w:lineRule="auto"/>
              <w:jc w:val="both"/>
              <w:textAlignment w:val="baseline"/>
              <w:rPr>
                <w:sz w:val="19"/>
                <w:szCs w:val="19"/>
              </w:rPr>
            </w:pPr>
            <w:r>
              <w:rPr>
                <w:sz w:val="19"/>
                <w:szCs w:val="19"/>
              </w:rPr>
              <w:t>6.1督促电动自行车及蓄电池、充电器销售</w:t>
            </w:r>
            <w:r>
              <w:rPr>
                <w:spacing w:val="-1"/>
                <w:sz w:val="19"/>
                <w:szCs w:val="19"/>
              </w:rPr>
              <w:t>企业建立并执行进货检</w:t>
            </w:r>
            <w:r>
              <w:rPr>
                <w:sz w:val="19"/>
                <w:szCs w:val="19"/>
              </w:rPr>
              <w:t>查验收制度，严格核查产品合格证明、强制性产品认证等信息，电动自行车整车不得与蓄电池拆分销售。</w:t>
            </w:r>
          </w:p>
        </w:tc>
        <w:tc>
          <w:tcPr>
            <w:tcW w:w="2036" w:type="dxa"/>
            <w:gridSpan w:val="2"/>
            <w:vMerge w:val="restart"/>
            <w:tcBorders>
              <w:top w:val="single" w:color="auto" w:sz="4" w:space="0"/>
              <w:bottom w:val="nil"/>
            </w:tcBorders>
            <w:vAlign w:val="center"/>
          </w:tcPr>
          <w:p w14:paraId="3E313158">
            <w:pPr>
              <w:pStyle w:val="6"/>
              <w:keepNext w:val="0"/>
              <w:keepLines w:val="0"/>
              <w:pageBreakBefore w:val="0"/>
              <w:widowControl/>
              <w:kinsoku w:val="0"/>
              <w:wordWrap/>
              <w:overflowPunct/>
              <w:topLinePunct w:val="0"/>
              <w:autoSpaceDE w:val="0"/>
              <w:autoSpaceDN w:val="0"/>
              <w:bidi w:val="0"/>
              <w:adjustRightInd w:val="0"/>
              <w:snapToGrid w:val="0"/>
              <w:spacing w:before="61" w:line="432" w:lineRule="auto"/>
              <w:jc w:val="center"/>
              <w:textAlignment w:val="baseline"/>
              <w:rPr>
                <w:sz w:val="19"/>
                <w:szCs w:val="19"/>
              </w:rPr>
            </w:pPr>
            <w:r>
              <w:rPr>
                <w:rFonts w:hint="eastAsia"/>
                <w:spacing w:val="2"/>
                <w:sz w:val="19"/>
                <w:szCs w:val="19"/>
                <w:lang w:eastAsia="zh-CN"/>
              </w:rPr>
              <w:t>县</w:t>
            </w:r>
            <w:r>
              <w:rPr>
                <w:spacing w:val="2"/>
                <w:sz w:val="19"/>
                <w:szCs w:val="19"/>
              </w:rPr>
              <w:t>市场监督管理局</w:t>
            </w:r>
          </w:p>
        </w:tc>
        <w:tc>
          <w:tcPr>
            <w:tcW w:w="2190" w:type="dxa"/>
            <w:vMerge w:val="restart"/>
            <w:tcBorders>
              <w:top w:val="single" w:color="auto" w:sz="4" w:space="0"/>
              <w:bottom w:val="nil"/>
            </w:tcBorders>
            <w:vAlign w:val="center"/>
          </w:tcPr>
          <w:p w14:paraId="12212D6A">
            <w:pPr>
              <w:keepNext w:val="0"/>
              <w:keepLines w:val="0"/>
              <w:pageBreakBefore w:val="0"/>
              <w:widowControl/>
              <w:kinsoku w:val="0"/>
              <w:wordWrap/>
              <w:overflowPunct/>
              <w:topLinePunct w:val="0"/>
              <w:autoSpaceDE w:val="0"/>
              <w:autoSpaceDN w:val="0"/>
              <w:bidi w:val="0"/>
              <w:adjustRightInd w:val="0"/>
              <w:snapToGrid w:val="0"/>
              <w:spacing w:line="432" w:lineRule="auto"/>
              <w:jc w:val="center"/>
              <w:textAlignment w:val="baseline"/>
              <w:rPr>
                <w:rFonts w:ascii="Arial"/>
                <w:sz w:val="21"/>
              </w:rPr>
            </w:pPr>
            <w:r>
              <w:rPr>
                <w:rFonts w:hint="eastAsia" w:ascii="宋体" w:hAnsi="宋体" w:eastAsia="宋体" w:cs="宋体"/>
                <w:snapToGrid w:val="0"/>
                <w:color w:val="000000"/>
                <w:kern w:val="0"/>
                <w:sz w:val="19"/>
                <w:szCs w:val="19"/>
                <w:lang w:val="en-US" w:eastAsia="zh-CN" w:bidi="ar-SA"/>
              </w:rPr>
              <w:t>各镇人民政府</w:t>
            </w:r>
          </w:p>
        </w:tc>
        <w:tc>
          <w:tcPr>
            <w:tcW w:w="2920" w:type="dxa"/>
            <w:tcBorders>
              <w:top w:val="single" w:color="auto" w:sz="4" w:space="0"/>
              <w:right w:val="single" w:color="auto" w:sz="4" w:space="0"/>
            </w:tcBorders>
            <w:vAlign w:val="center"/>
          </w:tcPr>
          <w:p w14:paraId="306C7CDC">
            <w:pPr>
              <w:pStyle w:val="6"/>
              <w:keepNext w:val="0"/>
              <w:keepLines w:val="0"/>
              <w:pageBreakBefore w:val="0"/>
              <w:widowControl/>
              <w:kinsoku w:val="0"/>
              <w:wordWrap/>
              <w:overflowPunct/>
              <w:topLinePunct w:val="0"/>
              <w:autoSpaceDE w:val="0"/>
              <w:autoSpaceDN w:val="0"/>
              <w:bidi w:val="0"/>
              <w:adjustRightInd w:val="0"/>
              <w:snapToGrid w:val="0"/>
              <w:spacing w:before="123" w:line="432" w:lineRule="auto"/>
              <w:ind w:left="759" w:right="148" w:hanging="619"/>
              <w:jc w:val="center"/>
              <w:textAlignment w:val="baseline"/>
              <w:rPr>
                <w:sz w:val="19"/>
                <w:szCs w:val="19"/>
              </w:rPr>
            </w:pPr>
            <w:r>
              <w:rPr>
                <w:spacing w:val="-1"/>
                <w:sz w:val="19"/>
                <w:szCs w:val="19"/>
              </w:rPr>
              <w:t>2024年8月底前完</w:t>
            </w:r>
            <w:r>
              <w:rPr>
                <w:sz w:val="19"/>
                <w:szCs w:val="19"/>
              </w:rPr>
              <w:t>成</w:t>
            </w:r>
          </w:p>
        </w:tc>
      </w:tr>
      <w:tr w14:paraId="16D4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94" w:type="dxa"/>
            <w:vMerge w:val="continue"/>
            <w:vAlign w:val="center"/>
          </w:tcPr>
          <w:p w14:paraId="77F70EA6">
            <w:pPr>
              <w:keepNext w:val="0"/>
              <w:keepLines w:val="0"/>
              <w:pageBreakBefore w:val="0"/>
              <w:widowControl/>
              <w:kinsoku w:val="0"/>
              <w:wordWrap/>
              <w:overflowPunct/>
              <w:topLinePunct w:val="0"/>
              <w:autoSpaceDE w:val="0"/>
              <w:autoSpaceDN w:val="0"/>
              <w:bidi w:val="0"/>
              <w:adjustRightInd w:val="0"/>
              <w:snapToGrid w:val="0"/>
              <w:spacing w:line="432" w:lineRule="auto"/>
              <w:jc w:val="both"/>
              <w:textAlignment w:val="baseline"/>
              <w:rPr>
                <w:rFonts w:ascii="Arial"/>
                <w:sz w:val="21"/>
              </w:rPr>
            </w:pPr>
          </w:p>
        </w:tc>
        <w:tc>
          <w:tcPr>
            <w:tcW w:w="5766" w:type="dxa"/>
            <w:vAlign w:val="center"/>
          </w:tcPr>
          <w:p w14:paraId="5A739AC3">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rFonts w:hint="eastAsia" w:eastAsia="宋体"/>
                <w:sz w:val="19"/>
                <w:szCs w:val="19"/>
                <w:lang w:eastAsia="zh-CN"/>
              </w:rPr>
            </w:pPr>
            <w:r>
              <w:rPr>
                <w:sz w:val="19"/>
                <w:szCs w:val="19"/>
              </w:rPr>
              <w:t>6.2依法加强对电动自行车及蓄电池电子商</w:t>
            </w:r>
            <w:r>
              <w:rPr>
                <w:spacing w:val="-1"/>
                <w:sz w:val="19"/>
                <w:szCs w:val="19"/>
              </w:rPr>
              <w:t>务领域、销售门店等销</w:t>
            </w:r>
            <w:r>
              <w:rPr>
                <w:sz w:val="19"/>
                <w:szCs w:val="19"/>
              </w:rPr>
              <w:t>售主体监管，以产品标准合规性为重点，把</w:t>
            </w:r>
            <w:r>
              <w:rPr>
                <w:spacing w:val="-1"/>
                <w:sz w:val="19"/>
                <w:szCs w:val="19"/>
              </w:rPr>
              <w:t>好“线上、线下”产</w:t>
            </w:r>
            <w:r>
              <w:rPr>
                <w:sz w:val="19"/>
                <w:szCs w:val="19"/>
              </w:rPr>
              <w:t>品质量关。持续开展流通领域产品质量监督抽查，凡发现销售不</w:t>
            </w:r>
            <w:r>
              <w:rPr>
                <w:spacing w:val="1"/>
                <w:sz w:val="19"/>
                <w:szCs w:val="19"/>
              </w:rPr>
              <w:t>符合法规标准的，责令停止销售并依法实施处罚</w:t>
            </w:r>
            <w:r>
              <w:rPr>
                <w:sz w:val="19"/>
                <w:szCs w:val="19"/>
              </w:rPr>
              <w:t>，情节严重的</w:t>
            </w:r>
            <w:r>
              <w:rPr>
                <w:rFonts w:hint="eastAsia"/>
                <w:sz w:val="19"/>
                <w:szCs w:val="19"/>
                <w:lang w:eastAsia="zh-CN"/>
              </w:rPr>
              <w:t>吊销营业执照。</w:t>
            </w:r>
          </w:p>
        </w:tc>
        <w:tc>
          <w:tcPr>
            <w:tcW w:w="2036" w:type="dxa"/>
            <w:gridSpan w:val="2"/>
            <w:vMerge w:val="continue"/>
            <w:tcBorders>
              <w:top w:val="nil"/>
            </w:tcBorders>
            <w:vAlign w:val="center"/>
          </w:tcPr>
          <w:p w14:paraId="726FD53B">
            <w:pPr>
              <w:keepNext w:val="0"/>
              <w:keepLines w:val="0"/>
              <w:pageBreakBefore w:val="0"/>
              <w:widowControl/>
              <w:kinsoku w:val="0"/>
              <w:wordWrap/>
              <w:overflowPunct/>
              <w:topLinePunct w:val="0"/>
              <w:autoSpaceDE w:val="0"/>
              <w:autoSpaceDN w:val="0"/>
              <w:bidi w:val="0"/>
              <w:adjustRightInd w:val="0"/>
              <w:snapToGrid w:val="0"/>
              <w:spacing w:line="432" w:lineRule="auto"/>
              <w:jc w:val="center"/>
              <w:textAlignment w:val="baseline"/>
              <w:rPr>
                <w:rFonts w:ascii="Arial"/>
                <w:sz w:val="21"/>
              </w:rPr>
            </w:pPr>
          </w:p>
        </w:tc>
        <w:tc>
          <w:tcPr>
            <w:tcW w:w="2190" w:type="dxa"/>
            <w:vMerge w:val="continue"/>
            <w:tcBorders>
              <w:top w:val="nil"/>
            </w:tcBorders>
            <w:vAlign w:val="center"/>
          </w:tcPr>
          <w:p w14:paraId="1D8C00AC">
            <w:pPr>
              <w:keepNext w:val="0"/>
              <w:keepLines w:val="0"/>
              <w:pageBreakBefore w:val="0"/>
              <w:widowControl/>
              <w:kinsoku w:val="0"/>
              <w:wordWrap/>
              <w:overflowPunct/>
              <w:topLinePunct w:val="0"/>
              <w:autoSpaceDE w:val="0"/>
              <w:autoSpaceDN w:val="0"/>
              <w:bidi w:val="0"/>
              <w:adjustRightInd w:val="0"/>
              <w:snapToGrid w:val="0"/>
              <w:spacing w:line="432" w:lineRule="auto"/>
              <w:jc w:val="center"/>
              <w:textAlignment w:val="baseline"/>
              <w:rPr>
                <w:rFonts w:ascii="Arial"/>
                <w:sz w:val="21"/>
              </w:rPr>
            </w:pPr>
          </w:p>
        </w:tc>
        <w:tc>
          <w:tcPr>
            <w:tcW w:w="2920" w:type="dxa"/>
            <w:tcBorders>
              <w:right w:val="single" w:color="auto" w:sz="4" w:space="0"/>
            </w:tcBorders>
            <w:vAlign w:val="center"/>
          </w:tcPr>
          <w:p w14:paraId="190A14CA">
            <w:pPr>
              <w:pStyle w:val="6"/>
              <w:keepNext w:val="0"/>
              <w:keepLines w:val="0"/>
              <w:pageBreakBefore w:val="0"/>
              <w:widowControl/>
              <w:kinsoku w:val="0"/>
              <w:wordWrap/>
              <w:overflowPunct/>
              <w:topLinePunct w:val="0"/>
              <w:autoSpaceDE w:val="0"/>
              <w:autoSpaceDN w:val="0"/>
              <w:bidi w:val="0"/>
              <w:adjustRightInd w:val="0"/>
              <w:snapToGrid w:val="0"/>
              <w:spacing w:before="268" w:line="432" w:lineRule="auto"/>
              <w:ind w:left="469" w:right="103" w:hanging="379"/>
              <w:jc w:val="center"/>
              <w:textAlignment w:val="baseline"/>
              <w:rPr>
                <w:sz w:val="19"/>
                <w:szCs w:val="19"/>
              </w:rPr>
            </w:pPr>
            <w:r>
              <w:rPr>
                <w:spacing w:val="-1"/>
                <w:sz w:val="19"/>
                <w:szCs w:val="19"/>
              </w:rPr>
              <w:t>2024年底前完成并</w:t>
            </w:r>
            <w:r>
              <w:rPr>
                <w:spacing w:val="-2"/>
                <w:sz w:val="19"/>
                <w:szCs w:val="19"/>
              </w:rPr>
              <w:t>持续推进</w:t>
            </w:r>
          </w:p>
        </w:tc>
      </w:tr>
      <w:tr w14:paraId="3C0F2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94" w:type="dxa"/>
            <w:vMerge w:val="continue"/>
            <w:vAlign w:val="center"/>
          </w:tcPr>
          <w:p w14:paraId="29F3F6B1">
            <w:pPr>
              <w:keepNext w:val="0"/>
              <w:keepLines w:val="0"/>
              <w:pageBreakBefore w:val="0"/>
              <w:widowControl/>
              <w:kinsoku w:val="0"/>
              <w:wordWrap/>
              <w:overflowPunct/>
              <w:topLinePunct w:val="0"/>
              <w:autoSpaceDE w:val="0"/>
              <w:autoSpaceDN w:val="0"/>
              <w:bidi w:val="0"/>
              <w:adjustRightInd w:val="0"/>
              <w:snapToGrid w:val="0"/>
              <w:spacing w:line="432" w:lineRule="auto"/>
              <w:jc w:val="both"/>
              <w:textAlignment w:val="baseline"/>
              <w:rPr>
                <w:rFonts w:ascii="Arial"/>
                <w:sz w:val="21"/>
              </w:rPr>
            </w:pPr>
          </w:p>
        </w:tc>
        <w:tc>
          <w:tcPr>
            <w:tcW w:w="5766" w:type="dxa"/>
            <w:vAlign w:val="center"/>
          </w:tcPr>
          <w:p w14:paraId="359783BE">
            <w:pPr>
              <w:pStyle w:val="6"/>
              <w:keepNext w:val="0"/>
              <w:keepLines w:val="0"/>
              <w:pageBreakBefore w:val="0"/>
              <w:widowControl/>
              <w:kinsoku w:val="0"/>
              <w:wordWrap/>
              <w:overflowPunct/>
              <w:topLinePunct w:val="0"/>
              <w:autoSpaceDE w:val="0"/>
              <w:autoSpaceDN w:val="0"/>
              <w:bidi w:val="0"/>
              <w:adjustRightInd w:val="0"/>
              <w:snapToGrid w:val="0"/>
              <w:spacing w:before="28" w:line="432" w:lineRule="auto"/>
              <w:jc w:val="both"/>
              <w:textAlignment w:val="baseline"/>
              <w:rPr>
                <w:sz w:val="19"/>
                <w:szCs w:val="19"/>
              </w:rPr>
            </w:pPr>
            <w:r>
              <w:rPr>
                <w:sz w:val="19"/>
                <w:szCs w:val="19"/>
              </w:rPr>
              <w:t>7.建立电动自行车制假售假问题线索移交通报机制，严厉查处生产、销售假冒伪劣产品行为，加强行刑衔接</w:t>
            </w:r>
            <w:r>
              <w:rPr>
                <w:spacing w:val="-1"/>
                <w:sz w:val="19"/>
                <w:szCs w:val="19"/>
              </w:rPr>
              <w:t>，打击违法犯罪，斩断非法生产、销售网络链条。</w:t>
            </w:r>
          </w:p>
        </w:tc>
        <w:tc>
          <w:tcPr>
            <w:tcW w:w="2036" w:type="dxa"/>
            <w:gridSpan w:val="2"/>
            <w:vAlign w:val="center"/>
          </w:tcPr>
          <w:p w14:paraId="1218F7C4">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sz w:val="19"/>
                <w:szCs w:val="19"/>
              </w:rPr>
            </w:pPr>
            <w:r>
              <w:rPr>
                <w:rFonts w:hint="eastAsia"/>
                <w:spacing w:val="1"/>
                <w:sz w:val="19"/>
                <w:szCs w:val="19"/>
                <w:lang w:eastAsia="zh-CN"/>
              </w:rPr>
              <w:t>县</w:t>
            </w:r>
            <w:r>
              <w:rPr>
                <w:spacing w:val="1"/>
                <w:sz w:val="19"/>
                <w:szCs w:val="19"/>
              </w:rPr>
              <w:t>公安局、</w:t>
            </w:r>
            <w:r>
              <w:rPr>
                <w:rFonts w:hint="eastAsia"/>
                <w:spacing w:val="1"/>
                <w:sz w:val="19"/>
                <w:szCs w:val="19"/>
                <w:lang w:eastAsia="zh-CN"/>
              </w:rPr>
              <w:t>县</w:t>
            </w:r>
            <w:r>
              <w:rPr>
                <w:spacing w:val="1"/>
                <w:sz w:val="19"/>
                <w:szCs w:val="19"/>
              </w:rPr>
              <w:t>市场</w:t>
            </w:r>
            <w:r>
              <w:rPr>
                <w:spacing w:val="3"/>
                <w:sz w:val="19"/>
                <w:szCs w:val="19"/>
              </w:rPr>
              <w:t>监督管理局</w:t>
            </w:r>
          </w:p>
        </w:tc>
        <w:tc>
          <w:tcPr>
            <w:tcW w:w="2190" w:type="dxa"/>
            <w:vAlign w:val="center"/>
          </w:tcPr>
          <w:p w14:paraId="39C17AB3">
            <w:pPr>
              <w:pStyle w:val="6"/>
              <w:keepNext w:val="0"/>
              <w:keepLines w:val="0"/>
              <w:pageBreakBefore w:val="0"/>
              <w:widowControl/>
              <w:kinsoku w:val="0"/>
              <w:wordWrap/>
              <w:overflowPunct/>
              <w:topLinePunct w:val="0"/>
              <w:autoSpaceDE w:val="0"/>
              <w:autoSpaceDN w:val="0"/>
              <w:bidi w:val="0"/>
              <w:adjustRightInd w:val="0"/>
              <w:snapToGrid w:val="0"/>
              <w:spacing w:line="340" w:lineRule="atLeast"/>
              <w:ind w:left="289" w:right="0" w:hanging="289"/>
              <w:jc w:val="center"/>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县工信局、县消防救援大队、各镇人民政府</w:t>
            </w:r>
          </w:p>
        </w:tc>
        <w:tc>
          <w:tcPr>
            <w:tcW w:w="2920" w:type="dxa"/>
            <w:tcBorders>
              <w:right w:val="single" w:color="auto" w:sz="4" w:space="0"/>
            </w:tcBorders>
            <w:vAlign w:val="center"/>
          </w:tcPr>
          <w:p w14:paraId="51BA0AB8">
            <w:pPr>
              <w:pStyle w:val="6"/>
              <w:keepNext w:val="0"/>
              <w:keepLines w:val="0"/>
              <w:pageBreakBefore w:val="0"/>
              <w:widowControl/>
              <w:kinsoku w:val="0"/>
              <w:wordWrap/>
              <w:overflowPunct/>
              <w:topLinePunct w:val="0"/>
              <w:autoSpaceDE w:val="0"/>
              <w:autoSpaceDN w:val="0"/>
              <w:bidi w:val="0"/>
              <w:adjustRightInd w:val="0"/>
              <w:snapToGrid w:val="0"/>
              <w:spacing w:before="140" w:line="432" w:lineRule="auto"/>
              <w:ind w:left="469" w:right="103" w:hanging="379"/>
              <w:jc w:val="center"/>
              <w:textAlignment w:val="baseline"/>
              <w:rPr>
                <w:sz w:val="19"/>
                <w:szCs w:val="19"/>
              </w:rPr>
            </w:pPr>
            <w:r>
              <w:rPr>
                <w:spacing w:val="-1"/>
                <w:sz w:val="19"/>
                <w:szCs w:val="19"/>
              </w:rPr>
              <w:t>2024年底前取得阶</w:t>
            </w:r>
            <w:r>
              <w:rPr>
                <w:spacing w:val="-2"/>
                <w:sz w:val="19"/>
                <w:szCs w:val="19"/>
              </w:rPr>
              <w:t>段性进展</w:t>
            </w:r>
          </w:p>
        </w:tc>
      </w:tr>
    </w:tbl>
    <w:tbl>
      <w:tblPr>
        <w:tblStyle w:val="7"/>
        <w:tblW w:w="14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1191"/>
        <w:gridCol w:w="3"/>
        <w:gridCol w:w="5757"/>
        <w:gridCol w:w="29"/>
        <w:gridCol w:w="1991"/>
        <w:gridCol w:w="10"/>
        <w:gridCol w:w="2200"/>
        <w:gridCol w:w="2930"/>
      </w:tblGrid>
      <w:tr w14:paraId="436E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196" w:type="dxa"/>
            <w:gridSpan w:val="2"/>
            <w:vMerge w:val="restart"/>
            <w:tcBorders>
              <w:left w:val="single" w:color="auto" w:sz="4" w:space="0"/>
              <w:bottom w:val="nil"/>
            </w:tcBorders>
            <w:vAlign w:val="center"/>
          </w:tcPr>
          <w:p w14:paraId="0812EC71">
            <w:pPr>
              <w:pStyle w:val="6"/>
              <w:keepNext w:val="0"/>
              <w:keepLines w:val="0"/>
              <w:pageBreakBefore w:val="0"/>
              <w:widowControl/>
              <w:kinsoku w:val="0"/>
              <w:wordWrap/>
              <w:overflowPunct/>
              <w:topLinePunct w:val="0"/>
              <w:autoSpaceDE w:val="0"/>
              <w:autoSpaceDN w:val="0"/>
              <w:bidi w:val="0"/>
              <w:adjustRightInd w:val="0"/>
              <w:snapToGrid w:val="0"/>
              <w:spacing w:before="62" w:line="240" w:lineRule="exact"/>
              <w:jc w:val="center"/>
              <w:textAlignment w:val="baseline"/>
              <w:rPr>
                <w:sz w:val="19"/>
                <w:szCs w:val="19"/>
              </w:rPr>
            </w:pPr>
            <w:r>
              <w:rPr>
                <w:spacing w:val="3"/>
                <w:sz w:val="19"/>
                <w:szCs w:val="19"/>
              </w:rPr>
              <w:t>(三)着力</w:t>
            </w:r>
          </w:p>
          <w:p w14:paraId="6239542B">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104"/>
              <w:jc w:val="center"/>
              <w:textAlignment w:val="baseline"/>
              <w:rPr>
                <w:sz w:val="19"/>
                <w:szCs w:val="19"/>
              </w:rPr>
            </w:pPr>
            <w:r>
              <w:rPr>
                <w:spacing w:val="-2"/>
                <w:sz w:val="19"/>
                <w:szCs w:val="19"/>
              </w:rPr>
              <w:t>解决非法改</w:t>
            </w:r>
          </w:p>
          <w:p w14:paraId="63836714">
            <w:pPr>
              <w:pStyle w:val="6"/>
              <w:keepNext w:val="0"/>
              <w:keepLines w:val="0"/>
              <w:pageBreakBefore w:val="0"/>
              <w:widowControl/>
              <w:kinsoku w:val="0"/>
              <w:wordWrap/>
              <w:overflowPunct/>
              <w:topLinePunct w:val="0"/>
              <w:autoSpaceDE w:val="0"/>
              <w:autoSpaceDN w:val="0"/>
              <w:bidi w:val="0"/>
              <w:adjustRightInd w:val="0"/>
              <w:snapToGrid w:val="0"/>
              <w:spacing w:before="34" w:line="240" w:lineRule="exact"/>
              <w:ind w:left="104"/>
              <w:jc w:val="center"/>
              <w:textAlignment w:val="baseline"/>
              <w:rPr>
                <w:sz w:val="19"/>
                <w:szCs w:val="19"/>
              </w:rPr>
            </w:pPr>
            <w:r>
              <w:rPr>
                <w:spacing w:val="-2"/>
                <w:sz w:val="19"/>
                <w:szCs w:val="19"/>
              </w:rPr>
              <w:t>装屡禁不止</w:t>
            </w:r>
          </w:p>
          <w:p w14:paraId="16CFD3CE">
            <w:pPr>
              <w:pStyle w:val="6"/>
              <w:keepNext w:val="0"/>
              <w:keepLines w:val="0"/>
              <w:pageBreakBefore w:val="0"/>
              <w:widowControl/>
              <w:kinsoku w:val="0"/>
              <w:wordWrap/>
              <w:overflowPunct/>
              <w:topLinePunct w:val="0"/>
              <w:autoSpaceDE w:val="0"/>
              <w:autoSpaceDN w:val="0"/>
              <w:bidi w:val="0"/>
              <w:adjustRightInd w:val="0"/>
              <w:snapToGrid w:val="0"/>
              <w:spacing w:before="17" w:line="240" w:lineRule="exact"/>
              <w:ind w:left="395"/>
              <w:jc w:val="center"/>
              <w:textAlignment w:val="baseline"/>
              <w:rPr>
                <w:sz w:val="19"/>
                <w:szCs w:val="19"/>
              </w:rPr>
            </w:pPr>
            <w:r>
              <w:rPr>
                <w:spacing w:val="4"/>
                <w:sz w:val="19"/>
                <w:szCs w:val="19"/>
              </w:rPr>
              <w:t>问题</w:t>
            </w:r>
          </w:p>
        </w:tc>
        <w:tc>
          <w:tcPr>
            <w:tcW w:w="5760" w:type="dxa"/>
            <w:gridSpan w:val="2"/>
            <w:vAlign w:val="center"/>
          </w:tcPr>
          <w:p w14:paraId="5631F0B2">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sz w:val="19"/>
                <w:szCs w:val="19"/>
              </w:rPr>
            </w:pPr>
            <w:r>
              <w:rPr>
                <w:sz w:val="19"/>
                <w:szCs w:val="19"/>
              </w:rPr>
              <w:t>8.1对经营网点和维修店铺开展经常性检查，依法从严整治擅自改装违法违规行为，严厉打击无照经营、违法违规回收、二次组装加工蓄电池、违规翻新制造组装加工电动自行车蓄电池的黑作坊，涉嫌犯罪的，依法追究刑事责任。</w:t>
            </w:r>
          </w:p>
        </w:tc>
        <w:tc>
          <w:tcPr>
            <w:tcW w:w="2030" w:type="dxa"/>
            <w:gridSpan w:val="3"/>
            <w:vMerge w:val="restart"/>
            <w:tcBorders>
              <w:bottom w:val="nil"/>
            </w:tcBorders>
            <w:vAlign w:val="center"/>
          </w:tcPr>
          <w:p w14:paraId="4C962785">
            <w:pPr>
              <w:pStyle w:val="6"/>
              <w:keepNext w:val="0"/>
              <w:keepLines w:val="0"/>
              <w:pageBreakBefore w:val="0"/>
              <w:widowControl/>
              <w:kinsoku w:val="0"/>
              <w:wordWrap/>
              <w:overflowPunct/>
              <w:topLinePunct w:val="0"/>
              <w:autoSpaceDE w:val="0"/>
              <w:autoSpaceDN w:val="0"/>
              <w:bidi w:val="0"/>
              <w:adjustRightInd w:val="0"/>
              <w:snapToGrid w:val="0"/>
              <w:spacing w:before="62" w:line="240" w:lineRule="exact"/>
              <w:jc w:val="center"/>
              <w:textAlignment w:val="baseline"/>
              <w:rPr>
                <w:sz w:val="19"/>
                <w:szCs w:val="19"/>
              </w:rPr>
            </w:pPr>
            <w:r>
              <w:rPr>
                <w:rFonts w:hint="eastAsia"/>
                <w:spacing w:val="2"/>
                <w:sz w:val="19"/>
                <w:szCs w:val="19"/>
                <w:lang w:eastAsia="zh-CN"/>
              </w:rPr>
              <w:t>县市</w:t>
            </w:r>
            <w:r>
              <w:rPr>
                <w:spacing w:val="2"/>
                <w:sz w:val="19"/>
                <w:szCs w:val="19"/>
              </w:rPr>
              <w:t>场监督管理局</w:t>
            </w:r>
          </w:p>
        </w:tc>
        <w:tc>
          <w:tcPr>
            <w:tcW w:w="2200" w:type="dxa"/>
            <w:vMerge w:val="restart"/>
            <w:tcBorders>
              <w:bottom w:val="nil"/>
            </w:tcBorders>
            <w:vAlign w:val="center"/>
          </w:tcPr>
          <w:p w14:paraId="4999935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31B20FAB">
            <w:pPr>
              <w:pStyle w:val="6"/>
              <w:keepNext w:val="0"/>
              <w:keepLines w:val="0"/>
              <w:pageBreakBefore w:val="0"/>
              <w:widowControl/>
              <w:kinsoku w:val="0"/>
              <w:wordWrap/>
              <w:overflowPunct/>
              <w:topLinePunct w:val="0"/>
              <w:autoSpaceDE w:val="0"/>
              <w:autoSpaceDN w:val="0"/>
              <w:bidi w:val="0"/>
              <w:adjustRightInd w:val="0"/>
              <w:snapToGrid w:val="0"/>
              <w:spacing w:before="62" w:line="240" w:lineRule="exact"/>
              <w:ind w:left="455" w:right="55" w:hanging="379"/>
              <w:jc w:val="center"/>
              <w:textAlignment w:val="baseline"/>
              <w:rPr>
                <w:rFonts w:hint="eastAsia" w:eastAsia="宋体"/>
                <w:sz w:val="19"/>
                <w:szCs w:val="19"/>
                <w:lang w:eastAsia="zh-CN"/>
              </w:rPr>
            </w:pPr>
            <w:r>
              <w:rPr>
                <w:rFonts w:hint="eastAsia"/>
                <w:spacing w:val="1"/>
                <w:sz w:val="19"/>
                <w:szCs w:val="19"/>
                <w:lang w:eastAsia="zh-CN"/>
              </w:rPr>
              <w:t>县</w:t>
            </w:r>
            <w:r>
              <w:rPr>
                <w:spacing w:val="1"/>
                <w:sz w:val="19"/>
                <w:szCs w:val="19"/>
              </w:rPr>
              <w:t>公安局、</w:t>
            </w:r>
            <w:r>
              <w:rPr>
                <w:rFonts w:hint="eastAsia"/>
                <w:spacing w:val="1"/>
                <w:sz w:val="19"/>
                <w:szCs w:val="19"/>
                <w:lang w:eastAsia="zh-CN"/>
              </w:rPr>
              <w:t>县</w:t>
            </w:r>
            <w:r>
              <w:rPr>
                <w:spacing w:val="1"/>
                <w:sz w:val="19"/>
                <w:szCs w:val="19"/>
              </w:rPr>
              <w:t>交通局</w:t>
            </w:r>
            <w:r>
              <w:rPr>
                <w:spacing w:val="-1"/>
                <w:sz w:val="19"/>
                <w:szCs w:val="19"/>
              </w:rPr>
              <w:t>、</w:t>
            </w:r>
            <w:r>
              <w:rPr>
                <w:rFonts w:hint="eastAsia"/>
                <w:spacing w:val="-1"/>
                <w:sz w:val="19"/>
                <w:szCs w:val="19"/>
                <w:lang w:eastAsia="zh-CN"/>
              </w:rPr>
              <w:t>县</w:t>
            </w:r>
            <w:r>
              <w:rPr>
                <w:spacing w:val="-1"/>
                <w:sz w:val="19"/>
                <w:szCs w:val="19"/>
              </w:rPr>
              <w:t>住建局</w:t>
            </w:r>
            <w:r>
              <w:rPr>
                <w:rFonts w:hint="eastAsia"/>
                <w:spacing w:val="-1"/>
                <w:sz w:val="19"/>
                <w:szCs w:val="19"/>
                <w:lang w:eastAsia="zh-CN"/>
              </w:rPr>
              <w:t>、</w:t>
            </w:r>
            <w:r>
              <w:rPr>
                <w:spacing w:val="-2"/>
                <w:sz w:val="19"/>
                <w:szCs w:val="19"/>
              </w:rPr>
              <w:t>各</w:t>
            </w:r>
            <w:r>
              <w:rPr>
                <w:rFonts w:hint="eastAsia"/>
                <w:spacing w:val="-2"/>
                <w:sz w:val="19"/>
                <w:szCs w:val="19"/>
                <w:lang w:eastAsia="zh-CN"/>
              </w:rPr>
              <w:t>镇</w:t>
            </w:r>
            <w:r>
              <w:rPr>
                <w:spacing w:val="-2"/>
                <w:sz w:val="19"/>
                <w:szCs w:val="19"/>
              </w:rPr>
              <w:t>人</w:t>
            </w:r>
            <w:r>
              <w:rPr>
                <w:spacing w:val="2"/>
                <w:sz w:val="19"/>
                <w:szCs w:val="19"/>
              </w:rPr>
              <w:t>民政府</w:t>
            </w:r>
          </w:p>
        </w:tc>
        <w:tc>
          <w:tcPr>
            <w:tcW w:w="2930" w:type="dxa"/>
            <w:tcBorders>
              <w:right w:val="single" w:color="auto" w:sz="4" w:space="0"/>
            </w:tcBorders>
            <w:vAlign w:val="center"/>
          </w:tcPr>
          <w:p w14:paraId="62C45CB4">
            <w:pPr>
              <w:pStyle w:val="6"/>
              <w:keepNext w:val="0"/>
              <w:keepLines w:val="0"/>
              <w:pageBreakBefore w:val="0"/>
              <w:widowControl/>
              <w:kinsoku w:val="0"/>
              <w:wordWrap/>
              <w:overflowPunct/>
              <w:topLinePunct w:val="0"/>
              <w:autoSpaceDE w:val="0"/>
              <w:autoSpaceDN w:val="0"/>
              <w:bidi w:val="0"/>
              <w:adjustRightInd w:val="0"/>
              <w:snapToGrid w:val="0"/>
              <w:spacing w:before="290" w:line="240" w:lineRule="exact"/>
              <w:ind w:right="105"/>
              <w:jc w:val="center"/>
              <w:textAlignment w:val="baseline"/>
              <w:rPr>
                <w:sz w:val="19"/>
                <w:szCs w:val="19"/>
              </w:rPr>
            </w:pPr>
            <w:r>
              <w:rPr>
                <w:spacing w:val="-1"/>
                <w:sz w:val="19"/>
                <w:szCs w:val="19"/>
              </w:rPr>
              <w:t>2024年8月底前整</w:t>
            </w:r>
            <w:r>
              <w:rPr>
                <w:spacing w:val="-2"/>
                <w:sz w:val="19"/>
                <w:szCs w:val="19"/>
              </w:rPr>
              <w:t>治一批并持续推进</w:t>
            </w:r>
          </w:p>
        </w:tc>
      </w:tr>
      <w:tr w14:paraId="4F33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96" w:type="dxa"/>
            <w:gridSpan w:val="2"/>
            <w:vMerge w:val="continue"/>
            <w:tcBorders>
              <w:top w:val="nil"/>
              <w:left w:val="single" w:color="auto" w:sz="4" w:space="0"/>
              <w:bottom w:val="nil"/>
            </w:tcBorders>
            <w:vAlign w:val="center"/>
          </w:tcPr>
          <w:p w14:paraId="20FAFEF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vAlign w:val="center"/>
          </w:tcPr>
          <w:p w14:paraId="2641871F">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sz w:val="19"/>
                <w:szCs w:val="19"/>
              </w:rPr>
            </w:pPr>
            <w:r>
              <w:rPr>
                <w:sz w:val="19"/>
                <w:szCs w:val="19"/>
              </w:rPr>
              <w:t>8.2常态化开展互联网电动自行车租赁平台非法改装、使用备案非标电动自行车等违法违规行为检查。</w:t>
            </w:r>
          </w:p>
        </w:tc>
        <w:tc>
          <w:tcPr>
            <w:tcW w:w="2030" w:type="dxa"/>
            <w:gridSpan w:val="3"/>
            <w:vMerge w:val="continue"/>
            <w:tcBorders>
              <w:top w:val="nil"/>
            </w:tcBorders>
            <w:vAlign w:val="center"/>
          </w:tcPr>
          <w:p w14:paraId="0AAE93A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2200" w:type="dxa"/>
            <w:vMerge w:val="continue"/>
            <w:tcBorders>
              <w:top w:val="nil"/>
            </w:tcBorders>
            <w:vAlign w:val="center"/>
          </w:tcPr>
          <w:p w14:paraId="1150C9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2930" w:type="dxa"/>
            <w:tcBorders>
              <w:right w:val="single" w:color="auto" w:sz="4" w:space="0"/>
            </w:tcBorders>
            <w:vAlign w:val="center"/>
          </w:tcPr>
          <w:p w14:paraId="5E49B0A0">
            <w:pPr>
              <w:pStyle w:val="6"/>
              <w:keepNext w:val="0"/>
              <w:keepLines w:val="0"/>
              <w:pageBreakBefore w:val="0"/>
              <w:widowControl/>
              <w:kinsoku w:val="0"/>
              <w:wordWrap/>
              <w:overflowPunct/>
              <w:topLinePunct w:val="0"/>
              <w:autoSpaceDE w:val="0"/>
              <w:autoSpaceDN w:val="0"/>
              <w:bidi w:val="0"/>
              <w:adjustRightInd w:val="0"/>
              <w:snapToGrid w:val="0"/>
              <w:spacing w:before="131" w:line="240" w:lineRule="exact"/>
              <w:jc w:val="center"/>
              <w:textAlignment w:val="baseline"/>
              <w:rPr>
                <w:sz w:val="19"/>
                <w:szCs w:val="19"/>
              </w:rPr>
            </w:pPr>
            <w:r>
              <w:rPr>
                <w:spacing w:val="-2"/>
                <w:sz w:val="19"/>
                <w:szCs w:val="19"/>
              </w:rPr>
              <w:t>持续推进</w:t>
            </w:r>
          </w:p>
        </w:tc>
      </w:tr>
      <w:tr w14:paraId="0656C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96" w:type="dxa"/>
            <w:gridSpan w:val="2"/>
            <w:vMerge w:val="continue"/>
            <w:tcBorders>
              <w:top w:val="nil"/>
              <w:left w:val="single" w:color="auto" w:sz="4" w:space="0"/>
              <w:bottom w:val="nil"/>
            </w:tcBorders>
            <w:vAlign w:val="center"/>
          </w:tcPr>
          <w:p w14:paraId="60FC6EF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vAlign w:val="center"/>
          </w:tcPr>
          <w:p w14:paraId="6FC67658">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rFonts w:hint="eastAsia"/>
                <w:sz w:val="19"/>
                <w:szCs w:val="19"/>
                <w:lang w:eastAsia="zh-CN"/>
              </w:rPr>
            </w:pPr>
            <w:r>
              <w:rPr>
                <w:sz w:val="19"/>
                <w:szCs w:val="19"/>
              </w:rPr>
              <w:t>9.1加强电商平台监管，督促其清理非法改装广告信息，严禁发布“解互认协议”“解限速”“增容量”等信息，严禁销售未依法经强制性产品认证的电动自行车、蓄电池和充电器等产品；在电动自行车相关商品销售页面明示“禁止非法改装”内容，引导</w:t>
            </w:r>
            <w:r>
              <w:rPr>
                <w:rFonts w:hint="eastAsia"/>
                <w:sz w:val="19"/>
                <w:szCs w:val="19"/>
                <w:lang w:eastAsia="zh-CN"/>
              </w:rPr>
              <w:t>群众自觉抵制非法改装产品。</w:t>
            </w:r>
          </w:p>
        </w:tc>
        <w:tc>
          <w:tcPr>
            <w:tcW w:w="2030" w:type="dxa"/>
            <w:gridSpan w:val="3"/>
            <w:vMerge w:val="restart"/>
            <w:tcBorders>
              <w:bottom w:val="nil"/>
            </w:tcBorders>
            <w:vAlign w:val="center"/>
          </w:tcPr>
          <w:p w14:paraId="1291DBF3">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r>
              <w:rPr>
                <w:rFonts w:hint="eastAsia"/>
                <w:spacing w:val="1"/>
                <w:sz w:val="19"/>
                <w:szCs w:val="19"/>
                <w:lang w:eastAsia="zh-CN"/>
              </w:rPr>
              <w:t>县市场监督管理局</w:t>
            </w:r>
          </w:p>
        </w:tc>
        <w:tc>
          <w:tcPr>
            <w:tcW w:w="2200" w:type="dxa"/>
            <w:vMerge w:val="restart"/>
            <w:tcBorders>
              <w:bottom w:val="nil"/>
            </w:tcBorders>
            <w:vAlign w:val="center"/>
          </w:tcPr>
          <w:p w14:paraId="125D4328">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p>
          <w:p w14:paraId="5DAD5D5E">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r>
              <w:rPr>
                <w:rFonts w:hint="eastAsia"/>
                <w:spacing w:val="1"/>
                <w:sz w:val="19"/>
                <w:szCs w:val="19"/>
                <w:lang w:eastAsia="zh-CN"/>
              </w:rPr>
              <w:t>县公安局、县工信局、县邮政局、各镇人民政府</w:t>
            </w:r>
          </w:p>
        </w:tc>
        <w:tc>
          <w:tcPr>
            <w:tcW w:w="2930" w:type="dxa"/>
            <w:tcBorders>
              <w:right w:val="single" w:color="auto" w:sz="4" w:space="0"/>
            </w:tcBorders>
            <w:vAlign w:val="center"/>
          </w:tcPr>
          <w:p w14:paraId="7291E626">
            <w:pPr>
              <w:pStyle w:val="6"/>
              <w:keepNext w:val="0"/>
              <w:keepLines w:val="0"/>
              <w:pageBreakBefore w:val="0"/>
              <w:widowControl/>
              <w:kinsoku w:val="0"/>
              <w:wordWrap/>
              <w:overflowPunct/>
              <w:topLinePunct w:val="0"/>
              <w:autoSpaceDE w:val="0"/>
              <w:autoSpaceDN w:val="0"/>
              <w:bidi w:val="0"/>
              <w:adjustRightInd w:val="0"/>
              <w:snapToGrid w:val="0"/>
              <w:spacing w:before="282" w:line="240" w:lineRule="exact"/>
              <w:ind w:right="148"/>
              <w:jc w:val="center"/>
              <w:textAlignment w:val="baseline"/>
              <w:rPr>
                <w:sz w:val="19"/>
                <w:szCs w:val="19"/>
              </w:rPr>
            </w:pPr>
            <w:r>
              <w:rPr>
                <w:spacing w:val="-1"/>
                <w:sz w:val="19"/>
                <w:szCs w:val="19"/>
              </w:rPr>
              <w:t>2024年8月底前完</w:t>
            </w:r>
            <w:r>
              <w:rPr>
                <w:sz w:val="19"/>
                <w:szCs w:val="19"/>
              </w:rPr>
              <w:t>成</w:t>
            </w:r>
          </w:p>
        </w:tc>
      </w:tr>
      <w:tr w14:paraId="0F957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96" w:type="dxa"/>
            <w:gridSpan w:val="2"/>
            <w:vMerge w:val="continue"/>
            <w:tcBorders>
              <w:top w:val="nil"/>
              <w:left w:val="single" w:color="auto" w:sz="4" w:space="0"/>
              <w:bottom w:val="nil"/>
            </w:tcBorders>
            <w:vAlign w:val="center"/>
          </w:tcPr>
          <w:p w14:paraId="34F899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vAlign w:val="center"/>
          </w:tcPr>
          <w:p w14:paraId="113736A1">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sz w:val="19"/>
                <w:szCs w:val="19"/>
              </w:rPr>
            </w:pPr>
            <w:r>
              <w:rPr>
                <w:sz w:val="19"/>
                <w:szCs w:val="19"/>
              </w:rPr>
              <w:t>9.2加强寄递渠道安全监管，禁止寄递电动自行车用蓄电池。</w:t>
            </w:r>
          </w:p>
        </w:tc>
        <w:tc>
          <w:tcPr>
            <w:tcW w:w="2030" w:type="dxa"/>
            <w:gridSpan w:val="3"/>
            <w:vMerge w:val="continue"/>
            <w:tcBorders>
              <w:top w:val="nil"/>
            </w:tcBorders>
            <w:vAlign w:val="center"/>
          </w:tcPr>
          <w:p w14:paraId="50BB8CF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2200" w:type="dxa"/>
            <w:vMerge w:val="continue"/>
            <w:tcBorders>
              <w:top w:val="nil"/>
            </w:tcBorders>
            <w:vAlign w:val="center"/>
          </w:tcPr>
          <w:p w14:paraId="00C8073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2930" w:type="dxa"/>
            <w:tcBorders>
              <w:right w:val="single" w:color="auto" w:sz="4" w:space="0"/>
            </w:tcBorders>
            <w:vAlign w:val="center"/>
          </w:tcPr>
          <w:p w14:paraId="212D0BAD">
            <w:pPr>
              <w:pStyle w:val="6"/>
              <w:keepNext w:val="0"/>
              <w:keepLines w:val="0"/>
              <w:pageBreakBefore w:val="0"/>
              <w:widowControl/>
              <w:kinsoku w:val="0"/>
              <w:wordWrap/>
              <w:overflowPunct/>
              <w:topLinePunct w:val="0"/>
              <w:autoSpaceDE w:val="0"/>
              <w:autoSpaceDN w:val="0"/>
              <w:bidi w:val="0"/>
              <w:adjustRightInd w:val="0"/>
              <w:snapToGrid w:val="0"/>
              <w:spacing w:before="32" w:line="240" w:lineRule="exact"/>
              <w:jc w:val="center"/>
              <w:textAlignment w:val="baseline"/>
              <w:rPr>
                <w:sz w:val="19"/>
                <w:szCs w:val="19"/>
              </w:rPr>
            </w:pPr>
            <w:r>
              <w:rPr>
                <w:spacing w:val="-2"/>
                <w:sz w:val="19"/>
                <w:szCs w:val="19"/>
              </w:rPr>
              <w:t>长期坚持</w:t>
            </w:r>
          </w:p>
        </w:tc>
      </w:tr>
      <w:tr w14:paraId="43AD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196" w:type="dxa"/>
            <w:gridSpan w:val="2"/>
            <w:vMerge w:val="continue"/>
            <w:tcBorders>
              <w:top w:val="nil"/>
              <w:left w:val="single" w:color="auto" w:sz="4" w:space="0"/>
              <w:bottom w:val="nil"/>
            </w:tcBorders>
            <w:vAlign w:val="center"/>
          </w:tcPr>
          <w:p w14:paraId="11A1FE8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vAlign w:val="center"/>
          </w:tcPr>
          <w:p w14:paraId="3EAA37C7">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rFonts w:hint="eastAsia"/>
                <w:sz w:val="19"/>
                <w:szCs w:val="19"/>
                <w:lang w:eastAsia="zh-CN"/>
              </w:rPr>
            </w:pPr>
            <w:r>
              <w:rPr>
                <w:sz w:val="19"/>
                <w:szCs w:val="19"/>
              </w:rPr>
              <w:t>10.1严格落实电动自行车登记管理制度，严禁为不符合现行国家标准、未获强制性产品认证电动自行车发放正式号牌。完善登记项目、在将蓄电池依法纳入强制性产品认证管理并设置识别代码的基础上，将车主信息、车架号、CCC认证证书编号及蓄电池识别</w:t>
            </w:r>
            <w:r>
              <w:rPr>
                <w:rFonts w:hint="eastAsia"/>
                <w:sz w:val="19"/>
                <w:szCs w:val="19"/>
                <w:lang w:eastAsia="zh-CN"/>
              </w:rPr>
              <w:t>代码纳入登记事项。</w:t>
            </w:r>
          </w:p>
        </w:tc>
        <w:tc>
          <w:tcPr>
            <w:tcW w:w="2030" w:type="dxa"/>
            <w:gridSpan w:val="3"/>
            <w:vMerge w:val="restart"/>
            <w:tcBorders>
              <w:bottom w:val="nil"/>
            </w:tcBorders>
            <w:vAlign w:val="center"/>
          </w:tcPr>
          <w:p w14:paraId="62F27259">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r>
              <w:rPr>
                <w:rFonts w:hint="eastAsia"/>
                <w:spacing w:val="1"/>
                <w:sz w:val="19"/>
                <w:szCs w:val="19"/>
                <w:lang w:eastAsia="zh-CN"/>
              </w:rPr>
              <w:t>县公安局交警大队</w:t>
            </w:r>
          </w:p>
        </w:tc>
        <w:tc>
          <w:tcPr>
            <w:tcW w:w="2200" w:type="dxa"/>
            <w:vMerge w:val="restart"/>
            <w:tcBorders>
              <w:bottom w:val="nil"/>
            </w:tcBorders>
            <w:vAlign w:val="center"/>
          </w:tcPr>
          <w:p w14:paraId="24395201">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p>
        </w:tc>
        <w:tc>
          <w:tcPr>
            <w:tcW w:w="2930" w:type="dxa"/>
            <w:tcBorders>
              <w:right w:val="single" w:color="auto" w:sz="4" w:space="0"/>
            </w:tcBorders>
            <w:vAlign w:val="center"/>
          </w:tcPr>
          <w:p w14:paraId="625E7B2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00BE9DB8">
            <w:pPr>
              <w:pStyle w:val="6"/>
              <w:keepNext w:val="0"/>
              <w:keepLines w:val="0"/>
              <w:pageBreakBefore w:val="0"/>
              <w:widowControl/>
              <w:kinsoku w:val="0"/>
              <w:wordWrap/>
              <w:overflowPunct/>
              <w:topLinePunct w:val="0"/>
              <w:autoSpaceDE w:val="0"/>
              <w:autoSpaceDN w:val="0"/>
              <w:bidi w:val="0"/>
              <w:adjustRightInd w:val="0"/>
              <w:snapToGrid w:val="0"/>
              <w:spacing w:before="61" w:line="240" w:lineRule="exact"/>
              <w:jc w:val="center"/>
              <w:textAlignment w:val="baseline"/>
              <w:rPr>
                <w:sz w:val="19"/>
                <w:szCs w:val="19"/>
              </w:rPr>
            </w:pPr>
            <w:r>
              <w:rPr>
                <w:spacing w:val="-1"/>
                <w:sz w:val="19"/>
                <w:szCs w:val="19"/>
              </w:rPr>
              <w:t>2024年底前完成</w:t>
            </w:r>
          </w:p>
        </w:tc>
      </w:tr>
      <w:tr w14:paraId="494E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96" w:type="dxa"/>
            <w:gridSpan w:val="2"/>
            <w:vMerge w:val="continue"/>
            <w:tcBorders>
              <w:top w:val="nil"/>
              <w:left w:val="single" w:color="auto" w:sz="4" w:space="0"/>
              <w:bottom w:val="nil"/>
            </w:tcBorders>
            <w:vAlign w:val="center"/>
          </w:tcPr>
          <w:p w14:paraId="074B8C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vAlign w:val="center"/>
          </w:tcPr>
          <w:p w14:paraId="120EE262">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sz w:val="19"/>
                <w:szCs w:val="19"/>
              </w:rPr>
            </w:pPr>
            <w:r>
              <w:rPr>
                <w:sz w:val="19"/>
                <w:szCs w:val="19"/>
              </w:rPr>
              <w:t>10.2对目前在用但不符合国家标准的电动自行车，在过渡期内实施临时登记管理；过渡期已满的，由各</w:t>
            </w:r>
            <w:r>
              <w:rPr>
                <w:rFonts w:hint="eastAsia"/>
                <w:sz w:val="19"/>
                <w:szCs w:val="19"/>
                <w:lang w:eastAsia="zh-CN"/>
              </w:rPr>
              <w:t>镇</w:t>
            </w:r>
            <w:r>
              <w:rPr>
                <w:sz w:val="19"/>
                <w:szCs w:val="19"/>
              </w:rPr>
              <w:t>人民政府结合本地实际，明确管理措施。</w:t>
            </w:r>
          </w:p>
        </w:tc>
        <w:tc>
          <w:tcPr>
            <w:tcW w:w="2030" w:type="dxa"/>
            <w:gridSpan w:val="3"/>
            <w:vMerge w:val="continue"/>
            <w:tcBorders>
              <w:top w:val="nil"/>
            </w:tcBorders>
            <w:vAlign w:val="center"/>
          </w:tcPr>
          <w:p w14:paraId="1890D49B">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p>
        </w:tc>
        <w:tc>
          <w:tcPr>
            <w:tcW w:w="2200" w:type="dxa"/>
            <w:vMerge w:val="continue"/>
            <w:tcBorders>
              <w:top w:val="nil"/>
            </w:tcBorders>
            <w:vAlign w:val="center"/>
          </w:tcPr>
          <w:p w14:paraId="71D6A42A">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p>
        </w:tc>
        <w:tc>
          <w:tcPr>
            <w:tcW w:w="2930" w:type="dxa"/>
            <w:tcBorders>
              <w:right w:val="single" w:color="auto" w:sz="4" w:space="0"/>
            </w:tcBorders>
            <w:vAlign w:val="center"/>
          </w:tcPr>
          <w:p w14:paraId="4AEE89A6">
            <w:pPr>
              <w:pStyle w:val="6"/>
              <w:keepNext w:val="0"/>
              <w:keepLines w:val="0"/>
              <w:pageBreakBefore w:val="0"/>
              <w:widowControl/>
              <w:kinsoku w:val="0"/>
              <w:wordWrap/>
              <w:overflowPunct/>
              <w:topLinePunct w:val="0"/>
              <w:autoSpaceDE w:val="0"/>
              <w:autoSpaceDN w:val="0"/>
              <w:bidi w:val="0"/>
              <w:adjustRightInd w:val="0"/>
              <w:snapToGrid w:val="0"/>
              <w:spacing w:before="264" w:line="240" w:lineRule="exact"/>
              <w:jc w:val="center"/>
              <w:textAlignment w:val="baseline"/>
              <w:rPr>
                <w:sz w:val="19"/>
                <w:szCs w:val="19"/>
              </w:rPr>
            </w:pPr>
            <w:r>
              <w:rPr>
                <w:spacing w:val="1"/>
                <w:sz w:val="19"/>
                <w:szCs w:val="19"/>
              </w:rPr>
              <w:t>2024年8月底前</w:t>
            </w:r>
          </w:p>
        </w:tc>
      </w:tr>
      <w:tr w14:paraId="3F90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96" w:type="dxa"/>
            <w:gridSpan w:val="2"/>
            <w:vMerge w:val="continue"/>
            <w:tcBorders>
              <w:top w:val="nil"/>
              <w:left w:val="single" w:color="auto" w:sz="4" w:space="0"/>
              <w:bottom w:val="nil"/>
            </w:tcBorders>
            <w:vAlign w:val="center"/>
          </w:tcPr>
          <w:p w14:paraId="0F2548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vAlign w:val="center"/>
          </w:tcPr>
          <w:p w14:paraId="6F5D114A">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sz w:val="19"/>
                <w:szCs w:val="19"/>
              </w:rPr>
            </w:pPr>
            <w:r>
              <w:rPr>
                <w:sz w:val="19"/>
                <w:szCs w:val="19"/>
              </w:rPr>
              <w:t>11.严查驾驶电动自行车闯红灯、逆行、超速、占用机动车道等严重违法行为，切实规范通行秩序。积极探索利用大数据、人工智能等技术，提高识别取证能力。结合本地实际，组织专项治理突出交通违法行为、多次违法人员，保持严管态势。</w:t>
            </w:r>
          </w:p>
        </w:tc>
        <w:tc>
          <w:tcPr>
            <w:tcW w:w="2030" w:type="dxa"/>
            <w:gridSpan w:val="3"/>
            <w:vAlign w:val="center"/>
          </w:tcPr>
          <w:p w14:paraId="37FEFCA6">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r>
              <w:rPr>
                <w:rFonts w:hint="eastAsia"/>
                <w:spacing w:val="1"/>
                <w:sz w:val="19"/>
                <w:szCs w:val="19"/>
                <w:lang w:eastAsia="zh-CN"/>
              </w:rPr>
              <w:t>县公安局交警大队</w:t>
            </w:r>
          </w:p>
        </w:tc>
        <w:tc>
          <w:tcPr>
            <w:tcW w:w="2200" w:type="dxa"/>
            <w:vAlign w:val="center"/>
          </w:tcPr>
          <w:p w14:paraId="347E4A26">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p>
        </w:tc>
        <w:tc>
          <w:tcPr>
            <w:tcW w:w="2930" w:type="dxa"/>
            <w:tcBorders>
              <w:right w:val="single" w:color="auto" w:sz="4" w:space="0"/>
            </w:tcBorders>
            <w:vAlign w:val="center"/>
          </w:tcPr>
          <w:p w14:paraId="4FA0501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08C7E50E">
            <w:pPr>
              <w:pStyle w:val="6"/>
              <w:keepNext w:val="0"/>
              <w:keepLines w:val="0"/>
              <w:pageBreakBefore w:val="0"/>
              <w:widowControl/>
              <w:kinsoku w:val="0"/>
              <w:wordWrap/>
              <w:overflowPunct/>
              <w:topLinePunct w:val="0"/>
              <w:autoSpaceDE w:val="0"/>
              <w:autoSpaceDN w:val="0"/>
              <w:bidi w:val="0"/>
              <w:adjustRightInd w:val="0"/>
              <w:snapToGrid w:val="0"/>
              <w:spacing w:before="61" w:line="240" w:lineRule="exact"/>
              <w:jc w:val="center"/>
              <w:textAlignment w:val="baseline"/>
              <w:rPr>
                <w:sz w:val="19"/>
                <w:szCs w:val="19"/>
              </w:rPr>
            </w:pPr>
            <w:r>
              <w:rPr>
                <w:spacing w:val="-1"/>
                <w:sz w:val="19"/>
                <w:szCs w:val="19"/>
              </w:rPr>
              <w:t>2025年底前完成</w:t>
            </w:r>
          </w:p>
        </w:tc>
      </w:tr>
      <w:tr w14:paraId="452B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1196" w:type="dxa"/>
            <w:gridSpan w:val="2"/>
            <w:vMerge w:val="continue"/>
            <w:tcBorders>
              <w:top w:val="nil"/>
              <w:left w:val="single" w:color="auto" w:sz="4" w:space="0"/>
              <w:bottom w:val="single" w:color="auto" w:sz="4" w:space="0"/>
            </w:tcBorders>
            <w:vAlign w:val="center"/>
          </w:tcPr>
          <w:p w14:paraId="7A16AC7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tcBorders>
              <w:bottom w:val="single" w:color="auto" w:sz="4" w:space="0"/>
            </w:tcBorders>
            <w:vAlign w:val="center"/>
          </w:tcPr>
          <w:p w14:paraId="01CD7365">
            <w:pPr>
              <w:pStyle w:val="6"/>
              <w:keepNext w:val="0"/>
              <w:keepLines w:val="0"/>
              <w:pageBreakBefore w:val="0"/>
              <w:widowControl/>
              <w:kinsoku w:val="0"/>
              <w:wordWrap/>
              <w:overflowPunct/>
              <w:topLinePunct w:val="0"/>
              <w:autoSpaceDE w:val="0"/>
              <w:autoSpaceDN w:val="0"/>
              <w:bidi w:val="0"/>
              <w:adjustRightInd w:val="0"/>
              <w:snapToGrid w:val="0"/>
              <w:spacing w:before="39" w:line="432" w:lineRule="auto"/>
              <w:ind w:right="188"/>
              <w:jc w:val="both"/>
              <w:textAlignment w:val="baseline"/>
              <w:rPr>
                <w:sz w:val="19"/>
                <w:szCs w:val="19"/>
              </w:rPr>
            </w:pPr>
            <w:r>
              <w:rPr>
                <w:sz w:val="19"/>
                <w:szCs w:val="19"/>
              </w:rPr>
              <w:t>12.1指导即时配送企业完善配送管理制度，加强配送人员使用电动自行车及蓄电池审查备案，强化安全教育培训；对使用电动自行车配送的，按照最高速度25公里/小时、守法行驶可完成配送任务的标准设定配送时限、路线；督促企业对车辆改装情况开展自查自改，发现改装车辆的落实责令恢复原状、禁止使用、限制接单等措施。</w:t>
            </w:r>
          </w:p>
        </w:tc>
        <w:tc>
          <w:tcPr>
            <w:tcW w:w="2030" w:type="dxa"/>
            <w:gridSpan w:val="3"/>
            <w:vMerge w:val="restart"/>
            <w:tcBorders>
              <w:bottom w:val="single" w:color="auto" w:sz="4" w:space="0"/>
            </w:tcBorders>
            <w:vAlign w:val="center"/>
          </w:tcPr>
          <w:p w14:paraId="362DCD73">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r>
              <w:rPr>
                <w:rFonts w:hint="eastAsia"/>
                <w:spacing w:val="1"/>
                <w:sz w:val="19"/>
                <w:szCs w:val="19"/>
                <w:lang w:eastAsia="zh-CN"/>
              </w:rPr>
              <w:t>县市场监督管理局</w:t>
            </w:r>
          </w:p>
        </w:tc>
        <w:tc>
          <w:tcPr>
            <w:tcW w:w="2200" w:type="dxa"/>
            <w:vMerge w:val="restart"/>
            <w:tcBorders>
              <w:bottom w:val="single" w:color="auto" w:sz="4" w:space="0"/>
            </w:tcBorders>
            <w:vAlign w:val="center"/>
          </w:tcPr>
          <w:p w14:paraId="45C82C50">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val="en-US" w:eastAsia="zh-CN"/>
              </w:rPr>
            </w:pPr>
          </w:p>
          <w:p w14:paraId="45BF86DF">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right="142" w:hanging="289"/>
              <w:jc w:val="center"/>
              <w:textAlignment w:val="baseline"/>
              <w:rPr>
                <w:rFonts w:hint="eastAsia"/>
                <w:spacing w:val="1"/>
                <w:sz w:val="19"/>
                <w:szCs w:val="19"/>
                <w:lang w:eastAsia="zh-CN"/>
              </w:rPr>
            </w:pPr>
            <w:r>
              <w:rPr>
                <w:rFonts w:hint="eastAsia"/>
                <w:spacing w:val="1"/>
                <w:sz w:val="19"/>
                <w:szCs w:val="19"/>
                <w:lang w:val="en-US" w:eastAsia="zh-CN"/>
              </w:rPr>
              <w:t>县公安局交警大队、各镇人民政府</w:t>
            </w:r>
          </w:p>
        </w:tc>
        <w:tc>
          <w:tcPr>
            <w:tcW w:w="2930" w:type="dxa"/>
            <w:tcBorders>
              <w:bottom w:val="single" w:color="auto" w:sz="4" w:space="0"/>
              <w:right w:val="single" w:color="auto" w:sz="4" w:space="0"/>
            </w:tcBorders>
            <w:vAlign w:val="center"/>
          </w:tcPr>
          <w:p w14:paraId="756BED5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3B604313">
            <w:pPr>
              <w:pStyle w:val="6"/>
              <w:keepNext w:val="0"/>
              <w:keepLines w:val="0"/>
              <w:pageBreakBefore w:val="0"/>
              <w:widowControl/>
              <w:kinsoku w:val="0"/>
              <w:wordWrap/>
              <w:overflowPunct/>
              <w:topLinePunct w:val="0"/>
              <w:autoSpaceDE w:val="0"/>
              <w:autoSpaceDN w:val="0"/>
              <w:bidi w:val="0"/>
              <w:adjustRightInd w:val="0"/>
              <w:snapToGrid w:val="0"/>
              <w:spacing w:before="61" w:line="240" w:lineRule="exact"/>
              <w:ind w:right="148"/>
              <w:jc w:val="center"/>
              <w:textAlignment w:val="baseline"/>
              <w:rPr>
                <w:sz w:val="19"/>
                <w:szCs w:val="19"/>
              </w:rPr>
            </w:pPr>
            <w:r>
              <w:rPr>
                <w:spacing w:val="-1"/>
                <w:sz w:val="19"/>
                <w:szCs w:val="19"/>
              </w:rPr>
              <w:t>2024年8月底前完</w:t>
            </w:r>
            <w:r>
              <w:rPr>
                <w:sz w:val="19"/>
                <w:szCs w:val="19"/>
              </w:rPr>
              <w:t>成</w:t>
            </w:r>
          </w:p>
        </w:tc>
      </w:tr>
      <w:tr w14:paraId="6A0C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196" w:type="dxa"/>
            <w:gridSpan w:val="2"/>
            <w:vMerge w:val="continue"/>
            <w:tcBorders>
              <w:top w:val="single" w:color="auto" w:sz="4" w:space="0"/>
              <w:left w:val="single" w:color="auto" w:sz="4" w:space="0"/>
            </w:tcBorders>
            <w:vAlign w:val="center"/>
          </w:tcPr>
          <w:p w14:paraId="3CD3D84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60" w:type="dxa"/>
            <w:gridSpan w:val="2"/>
            <w:tcBorders>
              <w:top w:val="single" w:color="auto" w:sz="4" w:space="0"/>
            </w:tcBorders>
            <w:vAlign w:val="center"/>
          </w:tcPr>
          <w:p w14:paraId="77CE8086">
            <w:pPr>
              <w:pStyle w:val="6"/>
              <w:keepNext w:val="0"/>
              <w:keepLines w:val="0"/>
              <w:pageBreakBefore w:val="0"/>
              <w:widowControl/>
              <w:kinsoku w:val="0"/>
              <w:wordWrap/>
              <w:overflowPunct/>
              <w:topLinePunct w:val="0"/>
              <w:autoSpaceDE w:val="0"/>
              <w:autoSpaceDN w:val="0"/>
              <w:bidi w:val="0"/>
              <w:adjustRightInd w:val="0"/>
              <w:snapToGrid w:val="0"/>
              <w:spacing w:before="61" w:line="240" w:lineRule="exact"/>
              <w:jc w:val="both"/>
              <w:textAlignment w:val="baseline"/>
              <w:rPr>
                <w:sz w:val="19"/>
                <w:szCs w:val="19"/>
              </w:rPr>
            </w:pPr>
            <w:r>
              <w:rPr>
                <w:sz w:val="19"/>
                <w:szCs w:val="19"/>
                <w:lang w:val="en-US" w:eastAsia="en-US"/>
              </w:rPr>
              <w:t>12.2鼓励企业为配送员统一配发电动自行车，推行共享换电模式</w:t>
            </w:r>
          </w:p>
        </w:tc>
        <w:tc>
          <w:tcPr>
            <w:tcW w:w="2030" w:type="dxa"/>
            <w:gridSpan w:val="3"/>
            <w:vMerge w:val="continue"/>
            <w:tcBorders>
              <w:top w:val="single" w:color="auto" w:sz="4" w:space="0"/>
            </w:tcBorders>
            <w:vAlign w:val="center"/>
          </w:tcPr>
          <w:p w14:paraId="4D06801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2200" w:type="dxa"/>
            <w:vMerge w:val="continue"/>
            <w:tcBorders>
              <w:top w:val="single" w:color="auto" w:sz="4" w:space="0"/>
            </w:tcBorders>
            <w:vAlign w:val="center"/>
          </w:tcPr>
          <w:p w14:paraId="7D6383B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2930" w:type="dxa"/>
            <w:tcBorders>
              <w:top w:val="single" w:color="auto" w:sz="4" w:space="0"/>
            </w:tcBorders>
            <w:vAlign w:val="center"/>
          </w:tcPr>
          <w:p w14:paraId="6D028151">
            <w:pPr>
              <w:pStyle w:val="6"/>
              <w:keepNext w:val="0"/>
              <w:keepLines w:val="0"/>
              <w:pageBreakBefore w:val="0"/>
              <w:widowControl/>
              <w:kinsoku w:val="0"/>
              <w:wordWrap/>
              <w:overflowPunct/>
              <w:topLinePunct w:val="0"/>
              <w:autoSpaceDE w:val="0"/>
              <w:autoSpaceDN w:val="0"/>
              <w:bidi w:val="0"/>
              <w:adjustRightInd w:val="0"/>
              <w:snapToGrid w:val="0"/>
              <w:spacing w:before="62" w:line="240" w:lineRule="exact"/>
              <w:jc w:val="center"/>
              <w:textAlignment w:val="baseline"/>
              <w:rPr>
                <w:sz w:val="19"/>
                <w:szCs w:val="19"/>
              </w:rPr>
            </w:pPr>
            <w:r>
              <w:rPr>
                <w:spacing w:val="-2"/>
                <w:sz w:val="19"/>
                <w:szCs w:val="19"/>
              </w:rPr>
              <w:t>持续推进</w:t>
            </w:r>
          </w:p>
        </w:tc>
      </w:tr>
      <w:tr w14:paraId="63A0A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551" w:hRule="atLeast"/>
        </w:trPr>
        <w:tc>
          <w:tcPr>
            <w:tcW w:w="1194" w:type="dxa"/>
            <w:gridSpan w:val="2"/>
            <w:vMerge w:val="restart"/>
            <w:tcBorders>
              <w:bottom w:val="nil"/>
            </w:tcBorders>
            <w:vAlign w:val="center"/>
          </w:tcPr>
          <w:p w14:paraId="487F52F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86" w:type="dxa"/>
            <w:gridSpan w:val="2"/>
            <w:vAlign w:val="center"/>
          </w:tcPr>
          <w:p w14:paraId="4E52CFF5">
            <w:pPr>
              <w:pStyle w:val="6"/>
              <w:keepNext w:val="0"/>
              <w:keepLines w:val="0"/>
              <w:pageBreakBefore w:val="0"/>
              <w:widowControl/>
              <w:kinsoku w:val="0"/>
              <w:wordWrap/>
              <w:overflowPunct/>
              <w:topLinePunct w:val="0"/>
              <w:autoSpaceDE w:val="0"/>
              <w:autoSpaceDN w:val="0"/>
              <w:bidi w:val="0"/>
              <w:adjustRightInd w:val="0"/>
              <w:snapToGrid w:val="0"/>
              <w:spacing w:before="213" w:line="240" w:lineRule="exact"/>
              <w:jc w:val="both"/>
              <w:textAlignment w:val="baseline"/>
              <w:rPr>
                <w:sz w:val="20"/>
                <w:szCs w:val="20"/>
              </w:rPr>
            </w:pPr>
            <w:r>
              <w:rPr>
                <w:spacing w:val="-1"/>
                <w:sz w:val="20"/>
                <w:szCs w:val="20"/>
              </w:rPr>
              <w:t>1</w:t>
            </w:r>
            <w:r>
              <w:rPr>
                <w:sz w:val="19"/>
                <w:szCs w:val="19"/>
              </w:rPr>
              <w:t>3.落实《城市居住区规划设计标准》(GB50180—2018)、《城市综合交通体系规划标准》(GB/T51328—2018)、《社区生活圈规划技术指南》(TD/T1062—2021)等有关非机动车停车场(库)设置规定，严格新建居住项目规划审批管理，将电动自行车停放充电设施纳入项目配套和拟供地块的规划条件，明确布局和配建比。在既有居民住宅小区内利用公共空间设置停放场所、充电设施，涉及规划调整的，优化程序简易办理；不涉及规划调整的，无需办理规划审批手续，具体由</w:t>
            </w:r>
            <w:r>
              <w:rPr>
                <w:rFonts w:hint="eastAsia"/>
                <w:sz w:val="19"/>
                <w:szCs w:val="19"/>
                <w:lang w:eastAsia="zh-CN"/>
              </w:rPr>
              <w:t>县自然资源局</w:t>
            </w:r>
            <w:r>
              <w:rPr>
                <w:sz w:val="19"/>
                <w:szCs w:val="19"/>
              </w:rPr>
              <w:t>规划</w:t>
            </w:r>
            <w:r>
              <w:rPr>
                <w:rFonts w:hint="eastAsia"/>
                <w:sz w:val="19"/>
                <w:szCs w:val="19"/>
                <w:lang w:eastAsia="zh-CN"/>
              </w:rPr>
              <w:t>、县行政审批服务管理局</w:t>
            </w:r>
            <w:r>
              <w:rPr>
                <w:sz w:val="19"/>
                <w:szCs w:val="19"/>
              </w:rPr>
              <w:t>许可审批落实。因既有小区场地资源紧张、无固定停放场所、无电源条件的，依法依规合理利用周边公共开放空间设置停放场所、充电设施，如需调整规划，优化程序简易办理。在商业区、车站周边等公共开放空间规划建设停放场所、充电设施，并纳入公共服务设施管理范围。</w:t>
            </w:r>
          </w:p>
        </w:tc>
        <w:tc>
          <w:tcPr>
            <w:tcW w:w="1991" w:type="dxa"/>
            <w:vAlign w:val="center"/>
          </w:tcPr>
          <w:p w14:paraId="759F2D35">
            <w:pPr>
              <w:pStyle w:val="6"/>
              <w:keepNext w:val="0"/>
              <w:keepLines w:val="0"/>
              <w:pageBreakBefore w:val="0"/>
              <w:widowControl/>
              <w:kinsoku w:val="0"/>
              <w:wordWrap/>
              <w:overflowPunct/>
              <w:topLinePunct w:val="0"/>
              <w:autoSpaceDE w:val="0"/>
              <w:autoSpaceDN w:val="0"/>
              <w:bidi w:val="0"/>
              <w:adjustRightInd w:val="0"/>
              <w:snapToGrid w:val="0"/>
              <w:spacing w:before="65" w:line="240" w:lineRule="exact"/>
              <w:ind w:right="104"/>
              <w:jc w:val="center"/>
              <w:textAlignment w:val="baseline"/>
              <w:rPr>
                <w:sz w:val="20"/>
                <w:szCs w:val="20"/>
              </w:rPr>
            </w:pPr>
            <w:r>
              <w:rPr>
                <w:rFonts w:hint="eastAsia"/>
                <w:spacing w:val="1"/>
                <w:sz w:val="20"/>
                <w:szCs w:val="20"/>
                <w:lang w:eastAsia="zh-CN"/>
              </w:rPr>
              <w:t>县</w:t>
            </w:r>
            <w:r>
              <w:rPr>
                <w:spacing w:val="1"/>
                <w:sz w:val="20"/>
                <w:szCs w:val="20"/>
              </w:rPr>
              <w:t>自然资源</w:t>
            </w:r>
            <w:r>
              <w:rPr>
                <w:sz w:val="20"/>
                <w:szCs w:val="20"/>
              </w:rPr>
              <w:t>局</w:t>
            </w:r>
          </w:p>
        </w:tc>
        <w:tc>
          <w:tcPr>
            <w:tcW w:w="2210" w:type="dxa"/>
            <w:gridSpan w:val="2"/>
            <w:vAlign w:val="center"/>
          </w:tcPr>
          <w:p w14:paraId="2B078435">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宋体" w:hAnsi="宋体" w:eastAsia="宋体" w:cs="宋体"/>
                <w:spacing w:val="1"/>
                <w:sz w:val="20"/>
                <w:szCs w:val="20"/>
              </w:rPr>
            </w:pPr>
            <w:r>
              <w:rPr>
                <w:rFonts w:hint="eastAsia" w:ascii="宋体" w:hAnsi="宋体" w:eastAsia="宋体" w:cs="宋体"/>
                <w:spacing w:val="1"/>
                <w:sz w:val="20"/>
                <w:szCs w:val="20"/>
                <w:lang w:eastAsia="zh-CN"/>
              </w:rPr>
              <w:t>县</w:t>
            </w:r>
            <w:r>
              <w:rPr>
                <w:rFonts w:ascii="宋体" w:hAnsi="宋体" w:eastAsia="宋体" w:cs="宋体"/>
                <w:spacing w:val="1"/>
                <w:sz w:val="20"/>
                <w:szCs w:val="20"/>
              </w:rPr>
              <w:t>交通局、</w:t>
            </w:r>
            <w:r>
              <w:rPr>
                <w:rFonts w:hint="eastAsia" w:ascii="宋体" w:hAnsi="宋体" w:eastAsia="宋体" w:cs="宋体"/>
                <w:spacing w:val="1"/>
                <w:sz w:val="20"/>
                <w:szCs w:val="20"/>
                <w:lang w:eastAsia="zh-CN"/>
              </w:rPr>
              <w:t>县</w:t>
            </w:r>
            <w:r>
              <w:rPr>
                <w:rFonts w:ascii="宋体" w:hAnsi="宋体" w:eastAsia="宋体" w:cs="宋体"/>
                <w:spacing w:val="1"/>
                <w:sz w:val="20"/>
                <w:szCs w:val="20"/>
              </w:rPr>
              <w:t>行政审</w:t>
            </w:r>
          </w:p>
          <w:p w14:paraId="5F47CEFF">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sz w:val="20"/>
                <w:szCs w:val="20"/>
              </w:rPr>
            </w:pPr>
            <w:r>
              <w:rPr>
                <w:rFonts w:ascii="宋体" w:hAnsi="宋体" w:eastAsia="宋体" w:cs="宋体"/>
                <w:spacing w:val="1"/>
                <w:sz w:val="20"/>
                <w:szCs w:val="20"/>
              </w:rPr>
              <w:t>批服务管理局</w:t>
            </w:r>
          </w:p>
        </w:tc>
        <w:tc>
          <w:tcPr>
            <w:tcW w:w="2930" w:type="dxa"/>
            <w:vAlign w:val="center"/>
          </w:tcPr>
          <w:p w14:paraId="56324A3F">
            <w:pPr>
              <w:pStyle w:val="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sz w:val="20"/>
                <w:szCs w:val="20"/>
              </w:rPr>
            </w:pPr>
            <w:r>
              <w:rPr>
                <w:spacing w:val="-2"/>
                <w:sz w:val="20"/>
                <w:szCs w:val="20"/>
              </w:rPr>
              <w:t>长期坚持</w:t>
            </w:r>
          </w:p>
        </w:tc>
      </w:tr>
      <w:tr w14:paraId="4CD5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469" w:hRule="atLeast"/>
        </w:trPr>
        <w:tc>
          <w:tcPr>
            <w:tcW w:w="1194" w:type="dxa"/>
            <w:gridSpan w:val="2"/>
            <w:vMerge w:val="continue"/>
            <w:tcBorders>
              <w:top w:val="nil"/>
            </w:tcBorders>
            <w:vAlign w:val="center"/>
          </w:tcPr>
          <w:p w14:paraId="71B2800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tc>
        <w:tc>
          <w:tcPr>
            <w:tcW w:w="5786" w:type="dxa"/>
            <w:gridSpan w:val="2"/>
            <w:vAlign w:val="center"/>
          </w:tcPr>
          <w:p w14:paraId="58BA0A1A">
            <w:pPr>
              <w:pStyle w:val="6"/>
              <w:keepNext w:val="0"/>
              <w:keepLines w:val="0"/>
              <w:pageBreakBefore w:val="0"/>
              <w:widowControl/>
              <w:kinsoku w:val="0"/>
              <w:wordWrap/>
              <w:overflowPunct/>
              <w:topLinePunct w:val="0"/>
              <w:autoSpaceDE w:val="0"/>
              <w:autoSpaceDN w:val="0"/>
              <w:bidi w:val="0"/>
              <w:adjustRightInd w:val="0"/>
              <w:snapToGrid w:val="0"/>
              <w:spacing w:before="90" w:line="240" w:lineRule="exact"/>
              <w:ind w:left="101"/>
              <w:jc w:val="both"/>
              <w:textAlignment w:val="baseline"/>
              <w:rPr>
                <w:rFonts w:hint="eastAsia" w:eastAsia="宋体"/>
                <w:sz w:val="20"/>
                <w:szCs w:val="20"/>
                <w:lang w:eastAsia="zh-CN"/>
              </w:rPr>
            </w:pPr>
            <w:r>
              <w:rPr>
                <w:sz w:val="19"/>
                <w:szCs w:val="19"/>
              </w:rPr>
              <w:t>14.推动属地(乡)镇、社区(村)开展既有小区电动自行车数量及充停场所充电设施建设使用情况摸底排查，分类建立清单台账，摸清充电需求、小区配电变压器容量情况，测算充电设施建设数量，科学制定具体实施计划。在居民住宅小区增设停放充电设施，要依法征得业主同意，符合电容、规划等要求，按政策规定办理相关手续，并须满足《电动自行车停放充电场所消防安全管理》以及《电动自行车停放充电场所防火技术标准》(DBJ04/T440—2023)等必要安全条件。按照“充(换)电柜为主、充电桩为辅”的原则，大力推进居住区充电设施建设全覆盖，积极推广更具安全性的共享充(换)电柜。小区产权单位、业委会(物管会)或其授权的物业服务企业公开选取优质规模化充电设施安装运营企业单位，确定建设运营管理方案，签订建设运营合作协议，明确建设责任、安全责任</w:t>
            </w:r>
            <w:r>
              <w:rPr>
                <w:rFonts w:hint="eastAsia"/>
                <w:sz w:val="19"/>
                <w:szCs w:val="19"/>
                <w:lang w:eastAsia="zh-CN"/>
              </w:rPr>
              <w:t>和</w:t>
            </w:r>
            <w:r>
              <w:rPr>
                <w:sz w:val="19"/>
                <w:szCs w:val="19"/>
              </w:rPr>
              <w:t>后期运营、维护、管理责任以及服务事项、标准、期限、收费标准、退出要求和协议到期后充电设施的处理方式等内容。将停放充电设施建设统筹纳入老旧小区综合整治工作完善类改造内容等地方政府民生事项，因地制宜列出计划安排，制定改造方案，落实资金渠道，确保在规定期限内完成。物业服务企业应积极协助配合充电设施安装运营单位实施安装建设；没有物业服务企业的，属地(乡)镇、社区(村)负责组织协调做好相关工作。推动机关、团体、企业、事业单位按照标准建设停放充电设施，提倡“满电回家</w:t>
            </w:r>
            <w:r>
              <w:rPr>
                <w:rFonts w:hint="eastAsia"/>
                <w:sz w:val="19"/>
                <w:szCs w:val="19"/>
                <w:lang w:eastAsia="zh-CN"/>
              </w:rPr>
              <w:t>”。</w:t>
            </w:r>
          </w:p>
        </w:tc>
        <w:tc>
          <w:tcPr>
            <w:tcW w:w="1991" w:type="dxa"/>
            <w:vAlign w:val="center"/>
          </w:tcPr>
          <w:p w14:paraId="7A928DE1">
            <w:pPr>
              <w:pStyle w:val="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sz w:val="20"/>
                <w:szCs w:val="20"/>
              </w:rPr>
            </w:pPr>
            <w:r>
              <w:rPr>
                <w:rFonts w:hint="eastAsia"/>
                <w:spacing w:val="4"/>
                <w:sz w:val="20"/>
                <w:szCs w:val="20"/>
                <w:lang w:eastAsia="zh-CN"/>
              </w:rPr>
              <w:t>县</w:t>
            </w:r>
            <w:r>
              <w:rPr>
                <w:spacing w:val="4"/>
                <w:sz w:val="20"/>
                <w:szCs w:val="20"/>
              </w:rPr>
              <w:t>住建局</w:t>
            </w:r>
          </w:p>
        </w:tc>
        <w:tc>
          <w:tcPr>
            <w:tcW w:w="2210" w:type="dxa"/>
            <w:gridSpan w:val="2"/>
            <w:vAlign w:val="center"/>
          </w:tcPr>
          <w:p w14:paraId="3CCB2FE4">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ascii="Arial"/>
                <w:sz w:val="21"/>
              </w:rPr>
            </w:pPr>
          </w:p>
          <w:p w14:paraId="226DBD5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宋体" w:hAnsi="宋体" w:eastAsia="宋体" w:cs="宋体"/>
                <w:snapToGrid w:val="0"/>
                <w:color w:val="000000"/>
                <w:spacing w:val="1"/>
                <w:kern w:val="0"/>
                <w:sz w:val="20"/>
                <w:szCs w:val="20"/>
                <w:lang w:val="en-US" w:eastAsia="en-US" w:bidi="ar-SA"/>
              </w:rPr>
            </w:pPr>
            <w:r>
              <w:rPr>
                <w:rFonts w:hint="eastAsia" w:ascii="宋体" w:hAnsi="宋体" w:eastAsia="宋体" w:cs="宋体"/>
                <w:snapToGrid w:val="0"/>
                <w:color w:val="000000"/>
                <w:spacing w:val="1"/>
                <w:kern w:val="0"/>
                <w:sz w:val="20"/>
                <w:szCs w:val="20"/>
                <w:lang w:val="en-US" w:eastAsia="zh-CN" w:bidi="ar-SA"/>
              </w:rPr>
              <w:t>县</w:t>
            </w:r>
            <w:r>
              <w:rPr>
                <w:rFonts w:ascii="宋体" w:hAnsi="宋体" w:eastAsia="宋体" w:cs="宋体"/>
                <w:snapToGrid w:val="0"/>
                <w:color w:val="000000"/>
                <w:spacing w:val="1"/>
                <w:kern w:val="0"/>
                <w:sz w:val="20"/>
                <w:szCs w:val="20"/>
                <w:lang w:val="en-US" w:eastAsia="en-US" w:bidi="ar-SA"/>
              </w:rPr>
              <w:t>消防救援</w:t>
            </w:r>
            <w:r>
              <w:rPr>
                <w:rFonts w:hint="eastAsia" w:ascii="宋体" w:hAnsi="宋体" w:eastAsia="宋体" w:cs="宋体"/>
                <w:snapToGrid w:val="0"/>
                <w:color w:val="000000"/>
                <w:spacing w:val="1"/>
                <w:kern w:val="0"/>
                <w:sz w:val="20"/>
                <w:szCs w:val="20"/>
                <w:lang w:val="en-US" w:eastAsia="zh-CN" w:bidi="ar-SA"/>
              </w:rPr>
              <w:t>大</w:t>
            </w:r>
            <w:r>
              <w:rPr>
                <w:rFonts w:ascii="宋体" w:hAnsi="宋体" w:eastAsia="宋体" w:cs="宋体"/>
                <w:snapToGrid w:val="0"/>
                <w:color w:val="000000"/>
                <w:spacing w:val="1"/>
                <w:kern w:val="0"/>
                <w:sz w:val="20"/>
                <w:szCs w:val="20"/>
                <w:lang w:val="en-US" w:eastAsia="en-US" w:bidi="ar-SA"/>
              </w:rPr>
              <w:t>队、</w:t>
            </w:r>
            <w:r>
              <w:rPr>
                <w:rFonts w:hint="eastAsia" w:ascii="宋体" w:hAnsi="宋体" w:eastAsia="宋体" w:cs="宋体"/>
                <w:snapToGrid w:val="0"/>
                <w:color w:val="000000"/>
                <w:spacing w:val="1"/>
                <w:kern w:val="0"/>
                <w:sz w:val="20"/>
                <w:szCs w:val="20"/>
                <w:lang w:val="en-US" w:eastAsia="zh-CN" w:bidi="ar-SA"/>
              </w:rPr>
              <w:t>县</w:t>
            </w:r>
            <w:r>
              <w:rPr>
                <w:rFonts w:ascii="宋体" w:hAnsi="宋体" w:eastAsia="宋体" w:cs="宋体"/>
                <w:snapToGrid w:val="0"/>
                <w:color w:val="000000"/>
                <w:spacing w:val="1"/>
                <w:kern w:val="0"/>
                <w:sz w:val="20"/>
                <w:szCs w:val="20"/>
                <w:lang w:val="en-US" w:eastAsia="en-US" w:bidi="ar-SA"/>
              </w:rPr>
              <w:t>自然资源局、</w:t>
            </w:r>
            <w:r>
              <w:rPr>
                <w:rFonts w:hint="eastAsia" w:ascii="宋体" w:hAnsi="宋体" w:eastAsia="宋体" w:cs="宋体"/>
                <w:snapToGrid w:val="0"/>
                <w:color w:val="000000"/>
                <w:spacing w:val="1"/>
                <w:kern w:val="0"/>
                <w:sz w:val="20"/>
                <w:szCs w:val="20"/>
                <w:lang w:val="en-US" w:eastAsia="zh-CN" w:bidi="ar-SA"/>
              </w:rPr>
              <w:t>县行政审批服务管理局、</w:t>
            </w:r>
            <w:r>
              <w:rPr>
                <w:rFonts w:hint="eastAsia" w:ascii="宋体" w:hAnsi="宋体" w:eastAsia="宋体" w:cs="宋体"/>
                <w:snapToGrid w:val="0"/>
                <w:color w:val="000000"/>
                <w:spacing w:val="1"/>
                <w:kern w:val="0"/>
                <w:sz w:val="20"/>
                <w:szCs w:val="20"/>
                <w:lang w:val="en-US" w:eastAsia="en-US" w:bidi="ar-SA"/>
              </w:rPr>
              <w:t>县</w:t>
            </w:r>
            <w:r>
              <w:rPr>
                <w:rFonts w:hint="eastAsia" w:ascii="宋体" w:hAnsi="宋体" w:eastAsia="宋体" w:cs="宋体"/>
                <w:snapToGrid w:val="0"/>
                <w:color w:val="000000"/>
                <w:spacing w:val="1"/>
                <w:kern w:val="0"/>
                <w:sz w:val="20"/>
                <w:szCs w:val="20"/>
                <w:lang w:val="en-US" w:eastAsia="zh-CN" w:bidi="ar-SA"/>
              </w:rPr>
              <w:t>发展和改革局（</w:t>
            </w:r>
            <w:r>
              <w:rPr>
                <w:rFonts w:hint="eastAsia" w:ascii="宋体" w:hAnsi="宋体" w:eastAsia="宋体" w:cs="宋体"/>
                <w:snapToGrid w:val="0"/>
                <w:color w:val="000000"/>
                <w:spacing w:val="1"/>
                <w:kern w:val="0"/>
                <w:sz w:val="20"/>
                <w:szCs w:val="20"/>
                <w:lang w:val="en-US" w:eastAsia="en-US" w:bidi="ar-SA"/>
              </w:rPr>
              <w:t>能源局</w:t>
            </w:r>
            <w:r>
              <w:rPr>
                <w:rFonts w:hint="eastAsia" w:ascii="宋体" w:hAnsi="宋体" w:eastAsia="宋体" w:cs="宋体"/>
                <w:snapToGrid w:val="0"/>
                <w:color w:val="000000"/>
                <w:spacing w:val="1"/>
                <w:kern w:val="0"/>
                <w:sz w:val="20"/>
                <w:szCs w:val="20"/>
                <w:lang w:val="en-US" w:eastAsia="zh-CN" w:bidi="ar-SA"/>
              </w:rPr>
              <w:t>）</w:t>
            </w:r>
            <w:r>
              <w:rPr>
                <w:rFonts w:ascii="宋体" w:hAnsi="宋体" w:eastAsia="宋体" w:cs="宋体"/>
                <w:snapToGrid w:val="0"/>
                <w:color w:val="000000"/>
                <w:spacing w:val="1"/>
                <w:kern w:val="0"/>
                <w:sz w:val="20"/>
                <w:szCs w:val="20"/>
                <w:lang w:val="en-US" w:eastAsia="en-US" w:bidi="ar-SA"/>
              </w:rPr>
              <w:t>、</w:t>
            </w:r>
            <w:r>
              <w:rPr>
                <w:rFonts w:hint="eastAsia" w:ascii="宋体" w:hAnsi="宋体" w:eastAsia="宋体" w:cs="宋体"/>
                <w:snapToGrid w:val="0"/>
                <w:color w:val="000000"/>
                <w:spacing w:val="1"/>
                <w:kern w:val="0"/>
                <w:sz w:val="20"/>
                <w:szCs w:val="20"/>
                <w:lang w:val="en-US" w:eastAsia="zh-CN" w:bidi="ar-SA"/>
              </w:rPr>
              <w:t>县</w:t>
            </w:r>
            <w:r>
              <w:rPr>
                <w:rFonts w:ascii="宋体" w:hAnsi="宋体" w:eastAsia="宋体" w:cs="宋体"/>
                <w:snapToGrid w:val="0"/>
                <w:color w:val="000000"/>
                <w:spacing w:val="1"/>
                <w:kern w:val="0"/>
                <w:sz w:val="20"/>
                <w:szCs w:val="20"/>
                <w:lang w:val="en-US" w:eastAsia="en-US" w:bidi="ar-SA"/>
              </w:rPr>
              <w:t>财政局</w:t>
            </w:r>
          </w:p>
          <w:p w14:paraId="22685A3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eastAsia="宋体"/>
                <w:sz w:val="20"/>
                <w:szCs w:val="20"/>
                <w:lang w:eastAsia="zh-CN"/>
              </w:rPr>
            </w:pPr>
            <w:r>
              <w:rPr>
                <w:rFonts w:hint="eastAsia" w:ascii="宋体" w:hAnsi="宋体" w:eastAsia="宋体" w:cs="宋体"/>
                <w:snapToGrid w:val="0"/>
                <w:color w:val="000000"/>
                <w:spacing w:val="1"/>
                <w:kern w:val="0"/>
                <w:sz w:val="20"/>
                <w:szCs w:val="20"/>
                <w:lang w:val="en-US" w:eastAsia="zh-CN" w:bidi="ar-SA"/>
              </w:rPr>
              <w:t>、晋能控股电力集团、地电方山分公司、</w:t>
            </w:r>
            <w:r>
              <w:rPr>
                <w:rFonts w:ascii="宋体" w:hAnsi="宋体" w:eastAsia="宋体" w:cs="宋体"/>
                <w:snapToGrid w:val="0"/>
                <w:color w:val="000000"/>
                <w:spacing w:val="1"/>
                <w:kern w:val="0"/>
                <w:sz w:val="20"/>
                <w:szCs w:val="20"/>
                <w:lang w:val="en-US" w:eastAsia="en-US" w:bidi="ar-SA"/>
              </w:rPr>
              <w:t>各</w:t>
            </w:r>
            <w:r>
              <w:rPr>
                <w:rFonts w:hint="eastAsia" w:ascii="宋体" w:hAnsi="宋体" w:eastAsia="宋体" w:cs="宋体"/>
                <w:snapToGrid w:val="0"/>
                <w:color w:val="000000"/>
                <w:spacing w:val="1"/>
                <w:kern w:val="0"/>
                <w:sz w:val="20"/>
                <w:szCs w:val="20"/>
                <w:lang w:val="en-US" w:eastAsia="zh-CN" w:bidi="ar-SA"/>
              </w:rPr>
              <w:t>镇</w:t>
            </w:r>
            <w:r>
              <w:rPr>
                <w:rFonts w:ascii="宋体" w:hAnsi="宋体" w:eastAsia="宋体" w:cs="宋体"/>
                <w:snapToGrid w:val="0"/>
                <w:color w:val="000000"/>
                <w:spacing w:val="1"/>
                <w:kern w:val="0"/>
                <w:sz w:val="20"/>
                <w:szCs w:val="20"/>
                <w:lang w:val="en-US" w:eastAsia="en-US" w:bidi="ar-SA"/>
              </w:rPr>
              <w:t>人民政府</w:t>
            </w:r>
          </w:p>
        </w:tc>
        <w:tc>
          <w:tcPr>
            <w:tcW w:w="2930" w:type="dxa"/>
            <w:vAlign w:val="center"/>
          </w:tcPr>
          <w:p w14:paraId="7D234E14">
            <w:pPr>
              <w:pStyle w:val="6"/>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sz w:val="20"/>
                <w:szCs w:val="20"/>
              </w:rPr>
            </w:pPr>
            <w:r>
              <w:rPr>
                <w:spacing w:val="-2"/>
                <w:sz w:val="20"/>
                <w:szCs w:val="20"/>
              </w:rPr>
              <w:t>长期坚持</w:t>
            </w:r>
          </w:p>
        </w:tc>
      </w:tr>
    </w:tbl>
    <w:p w14:paraId="37BEC59A">
      <w:pPr>
        <w:rPr>
          <w:rFonts w:ascii="Arial" w:hAnsi="Arial" w:eastAsia="Arial" w:cs="Arial"/>
          <w:sz w:val="21"/>
          <w:szCs w:val="21"/>
        </w:rPr>
        <w:sectPr>
          <w:footerReference r:id="rId6" w:type="default"/>
          <w:pgSz w:w="16830" w:h="11900"/>
          <w:pgMar w:top="714" w:right="1635" w:bottom="400" w:left="1054" w:header="0" w:footer="0" w:gutter="0"/>
          <w:pgBorders>
            <w:top w:val="none" w:sz="0" w:space="0"/>
            <w:left w:val="none" w:sz="0" w:space="0"/>
            <w:bottom w:val="none" w:sz="0" w:space="0"/>
            <w:right w:val="none" w:sz="0" w:space="0"/>
          </w:pgBorders>
          <w:cols w:space="720" w:num="1"/>
        </w:sectPr>
      </w:pPr>
    </w:p>
    <w:p w14:paraId="75FC18B3">
      <w:pPr>
        <w:spacing w:line="35" w:lineRule="exact"/>
      </w:pPr>
    </w:p>
    <w:tbl>
      <w:tblPr>
        <w:tblStyle w:val="7"/>
        <w:tblpPr w:leftFromText="180" w:rightFromText="180" w:vertAnchor="text" w:horzAnchor="page" w:tblpX="1129" w:tblpY="321"/>
        <w:tblOverlap w:val="never"/>
        <w:tblW w:w="141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5796"/>
        <w:gridCol w:w="2045"/>
        <w:gridCol w:w="2150"/>
        <w:gridCol w:w="2980"/>
      </w:tblGrid>
      <w:tr w14:paraId="7F73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1211" w:type="dxa"/>
            <w:vMerge w:val="restart"/>
            <w:vAlign w:val="center"/>
          </w:tcPr>
          <w:p w14:paraId="1BF8DB66">
            <w:pPr>
              <w:spacing w:before="18" w:line="233" w:lineRule="auto"/>
              <w:ind w:left="20" w:right="20" w:firstLine="99"/>
              <w:jc w:val="center"/>
              <w:rPr>
                <w:rFonts w:hint="eastAsia" w:ascii="宋体" w:hAnsi="宋体" w:eastAsia="宋体" w:cs="宋体"/>
                <w:spacing w:val="-2"/>
                <w:sz w:val="19"/>
                <w:szCs w:val="19"/>
                <w:lang w:eastAsia="zh-CN"/>
              </w:rPr>
            </w:pPr>
            <w:r>
              <w:rPr>
                <w:rFonts w:ascii="宋体" w:hAnsi="宋体" w:eastAsia="宋体" w:cs="宋体"/>
                <w:spacing w:val="3"/>
                <w:sz w:val="19"/>
                <w:szCs w:val="19"/>
              </w:rPr>
              <w:t>(四)着力</w:t>
            </w:r>
            <w:r>
              <w:rPr>
                <w:rFonts w:ascii="宋体" w:hAnsi="宋体" w:eastAsia="宋体" w:cs="宋体"/>
                <w:sz w:val="19"/>
                <w:szCs w:val="19"/>
              </w:rPr>
              <w:t xml:space="preserve">  解决设施不</w:t>
            </w:r>
            <w:r>
              <w:rPr>
                <w:rFonts w:ascii="宋体" w:hAnsi="宋体" w:eastAsia="宋体" w:cs="宋体"/>
                <w:spacing w:val="2"/>
                <w:sz w:val="19"/>
                <w:szCs w:val="19"/>
              </w:rPr>
              <w:t xml:space="preserve"> </w:t>
            </w:r>
            <w:r>
              <w:rPr>
                <w:rFonts w:ascii="宋体" w:hAnsi="宋体" w:eastAsia="宋体" w:cs="宋体"/>
                <w:spacing w:val="4"/>
                <w:sz w:val="19"/>
                <w:szCs w:val="19"/>
              </w:rPr>
              <w:t>足、违规停</w:t>
            </w:r>
            <w:r>
              <w:rPr>
                <w:rFonts w:ascii="宋体" w:hAnsi="宋体" w:eastAsia="宋体" w:cs="宋体"/>
                <w:sz w:val="19"/>
                <w:szCs w:val="19"/>
              </w:rPr>
              <w:t xml:space="preserve"> </w:t>
            </w:r>
            <w:r>
              <w:rPr>
                <w:rFonts w:ascii="宋体" w:hAnsi="宋体" w:eastAsia="宋体" w:cs="宋体"/>
                <w:spacing w:val="-2"/>
                <w:sz w:val="19"/>
                <w:szCs w:val="19"/>
              </w:rPr>
              <w:t>放充电问</w:t>
            </w:r>
            <w:r>
              <w:rPr>
                <w:rFonts w:hint="eastAsia" w:ascii="宋体" w:hAnsi="宋体" w:eastAsia="宋体" w:cs="宋体"/>
                <w:spacing w:val="-2"/>
                <w:sz w:val="19"/>
                <w:szCs w:val="19"/>
                <w:lang w:eastAsia="zh-CN"/>
              </w:rPr>
              <w:t>题</w:t>
            </w:r>
          </w:p>
          <w:tbl>
            <w:tblPr>
              <w:tblStyle w:val="7"/>
              <w:tblW w:w="12916" w:type="dxa"/>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1"/>
              <w:gridCol w:w="2005"/>
              <w:gridCol w:w="2190"/>
              <w:gridCol w:w="2930"/>
            </w:tblGrid>
            <w:tr w14:paraId="0FFD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5791" w:type="dxa"/>
                  <w:vAlign w:val="top"/>
                </w:tcPr>
                <w:p w14:paraId="36144FF2">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187E6838">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left="175"/>
                    <w:jc w:val="center"/>
                    <w:textAlignment w:val="baseline"/>
                    <w:rPr>
                      <w:sz w:val="19"/>
                      <w:szCs w:val="19"/>
                    </w:rPr>
                  </w:pPr>
                  <w:r>
                    <w:rPr>
                      <w:sz w:val="19"/>
                      <w:szCs w:val="19"/>
                    </w:rPr>
                    <w:t>15.民用建筑架空层不具备消防安全条件的，不得用作电动自行车</w:t>
                  </w:r>
                </w:p>
                <w:p w14:paraId="79C02522">
                  <w:pPr>
                    <w:pStyle w:val="6"/>
                    <w:keepNext w:val="0"/>
                    <w:keepLines w:val="0"/>
                    <w:pageBreakBefore w:val="0"/>
                    <w:widowControl/>
                    <w:kinsoku w:val="0"/>
                    <w:wordWrap/>
                    <w:overflowPunct/>
                    <w:topLinePunct w:val="0"/>
                    <w:autoSpaceDE w:val="0"/>
                    <w:autoSpaceDN w:val="0"/>
                    <w:bidi w:val="0"/>
                    <w:adjustRightInd w:val="0"/>
                    <w:snapToGrid w:val="0"/>
                    <w:spacing w:before="34" w:line="160" w:lineRule="atLeast"/>
                    <w:ind w:left="225"/>
                    <w:jc w:val="center"/>
                    <w:textAlignment w:val="baseline"/>
                    <w:rPr>
                      <w:sz w:val="19"/>
                      <w:szCs w:val="19"/>
                    </w:rPr>
                  </w:pPr>
                  <w:r>
                    <w:rPr>
                      <w:sz w:val="19"/>
                      <w:szCs w:val="19"/>
                    </w:rPr>
                    <w:t>停放充电场所。因场地不足确需使用民用建</w:t>
                  </w:r>
                  <w:r>
                    <w:rPr>
                      <w:spacing w:val="-1"/>
                      <w:sz w:val="19"/>
                      <w:szCs w:val="19"/>
                    </w:rPr>
                    <w:t>筑架空层作为停放充</w:t>
                  </w:r>
                </w:p>
                <w:p w14:paraId="4B559262">
                  <w:pPr>
                    <w:pStyle w:val="6"/>
                    <w:keepNext w:val="0"/>
                    <w:keepLines w:val="0"/>
                    <w:pageBreakBefore w:val="0"/>
                    <w:widowControl/>
                    <w:kinsoku w:val="0"/>
                    <w:wordWrap/>
                    <w:overflowPunct/>
                    <w:topLinePunct w:val="0"/>
                    <w:autoSpaceDE w:val="0"/>
                    <w:autoSpaceDN w:val="0"/>
                    <w:bidi w:val="0"/>
                    <w:adjustRightInd w:val="0"/>
                    <w:snapToGrid w:val="0"/>
                    <w:spacing w:before="3" w:line="160" w:lineRule="atLeast"/>
                    <w:ind w:left="225"/>
                    <w:jc w:val="center"/>
                    <w:textAlignment w:val="baseline"/>
                    <w:rPr>
                      <w:sz w:val="19"/>
                      <w:szCs w:val="19"/>
                    </w:rPr>
                  </w:pPr>
                  <w:r>
                    <w:rPr>
                      <w:sz w:val="19"/>
                      <w:szCs w:val="19"/>
                    </w:rPr>
                    <w:t>电场所的，应与建筑内的通风采光井、公共部位、疏散通道、安</w:t>
                  </w:r>
                </w:p>
                <w:p w14:paraId="2400560F">
                  <w:pPr>
                    <w:pStyle w:val="6"/>
                    <w:keepNext w:val="0"/>
                    <w:keepLines w:val="0"/>
                    <w:pageBreakBefore w:val="0"/>
                    <w:widowControl/>
                    <w:kinsoku w:val="0"/>
                    <w:wordWrap/>
                    <w:overflowPunct/>
                    <w:topLinePunct w:val="0"/>
                    <w:autoSpaceDE w:val="0"/>
                    <w:autoSpaceDN w:val="0"/>
                    <w:bidi w:val="0"/>
                    <w:adjustRightInd w:val="0"/>
                    <w:snapToGrid w:val="0"/>
                    <w:spacing w:before="14" w:line="160" w:lineRule="atLeast"/>
                    <w:ind w:left="225"/>
                    <w:jc w:val="center"/>
                    <w:textAlignment w:val="baseline"/>
                    <w:rPr>
                      <w:sz w:val="19"/>
                      <w:szCs w:val="19"/>
                    </w:rPr>
                  </w:pPr>
                  <w:r>
                    <w:rPr>
                      <w:sz w:val="19"/>
                      <w:szCs w:val="19"/>
                    </w:rPr>
                    <w:t>全出口进行有效防火分隔，消防设施器材和</w:t>
                  </w:r>
                  <w:r>
                    <w:rPr>
                      <w:spacing w:val="-1"/>
                      <w:sz w:val="19"/>
                      <w:szCs w:val="19"/>
                    </w:rPr>
                    <w:t>视频监控设备须保持</w:t>
                  </w:r>
                </w:p>
                <w:p w14:paraId="6DE25178">
                  <w:pPr>
                    <w:pStyle w:val="6"/>
                    <w:keepNext w:val="0"/>
                    <w:keepLines w:val="0"/>
                    <w:pageBreakBefore w:val="0"/>
                    <w:widowControl/>
                    <w:kinsoku w:val="0"/>
                    <w:wordWrap/>
                    <w:overflowPunct/>
                    <w:topLinePunct w:val="0"/>
                    <w:autoSpaceDE w:val="0"/>
                    <w:autoSpaceDN w:val="0"/>
                    <w:bidi w:val="0"/>
                    <w:adjustRightInd w:val="0"/>
                    <w:snapToGrid w:val="0"/>
                    <w:spacing w:before="26" w:line="160" w:lineRule="atLeast"/>
                    <w:ind w:left="225"/>
                    <w:jc w:val="center"/>
                    <w:textAlignment w:val="baseline"/>
                    <w:rPr>
                      <w:sz w:val="19"/>
                      <w:szCs w:val="19"/>
                    </w:rPr>
                  </w:pPr>
                  <w:r>
                    <w:rPr>
                      <w:spacing w:val="-1"/>
                      <w:sz w:val="19"/>
                      <w:szCs w:val="19"/>
                    </w:rPr>
                    <w:t>完好有效，实行车辆分组停放，并设置专用充电设施。建筑产权</w:t>
                  </w:r>
                </w:p>
                <w:p w14:paraId="6E110250">
                  <w:pPr>
                    <w:pStyle w:val="6"/>
                    <w:keepNext w:val="0"/>
                    <w:keepLines w:val="0"/>
                    <w:pageBreakBefore w:val="0"/>
                    <w:widowControl/>
                    <w:kinsoku w:val="0"/>
                    <w:wordWrap/>
                    <w:overflowPunct/>
                    <w:topLinePunct w:val="0"/>
                    <w:autoSpaceDE w:val="0"/>
                    <w:autoSpaceDN w:val="0"/>
                    <w:bidi w:val="0"/>
                    <w:adjustRightInd w:val="0"/>
                    <w:snapToGrid w:val="0"/>
                    <w:spacing w:before="34" w:line="160" w:lineRule="atLeast"/>
                    <w:ind w:left="225"/>
                    <w:jc w:val="center"/>
                    <w:textAlignment w:val="baseline"/>
                    <w:rPr>
                      <w:sz w:val="19"/>
                      <w:szCs w:val="19"/>
                    </w:rPr>
                  </w:pPr>
                  <w:r>
                    <w:rPr>
                      <w:spacing w:val="-1"/>
                      <w:sz w:val="19"/>
                      <w:szCs w:val="19"/>
                    </w:rPr>
                    <w:t>单位、使用单位、居住区物业服务企业负责做好架空层安全巡查</w:t>
                  </w:r>
                </w:p>
                <w:p w14:paraId="1B158573">
                  <w:pPr>
                    <w:pStyle w:val="6"/>
                    <w:keepNext w:val="0"/>
                    <w:keepLines w:val="0"/>
                    <w:pageBreakBefore w:val="0"/>
                    <w:widowControl/>
                    <w:kinsoku w:val="0"/>
                    <w:wordWrap/>
                    <w:overflowPunct/>
                    <w:topLinePunct w:val="0"/>
                    <w:autoSpaceDE w:val="0"/>
                    <w:autoSpaceDN w:val="0"/>
                    <w:bidi w:val="0"/>
                    <w:adjustRightInd w:val="0"/>
                    <w:snapToGrid w:val="0"/>
                    <w:spacing w:before="35" w:line="160" w:lineRule="atLeast"/>
                    <w:ind w:left="2645"/>
                    <w:jc w:val="center"/>
                    <w:textAlignment w:val="baseline"/>
                    <w:rPr>
                      <w:sz w:val="19"/>
                      <w:szCs w:val="19"/>
                    </w:rPr>
                  </w:pPr>
                  <w:r>
                    <w:rPr>
                      <w:spacing w:val="1"/>
                      <w:sz w:val="19"/>
                      <w:szCs w:val="19"/>
                    </w:rPr>
                    <w:t>工作。</w:t>
                  </w:r>
                </w:p>
              </w:tc>
              <w:tc>
                <w:tcPr>
                  <w:tcW w:w="2005" w:type="dxa"/>
                  <w:vAlign w:val="top"/>
                </w:tcPr>
                <w:p w14:paraId="254D686A">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580D6A38">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35973109">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77E07543">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523C3B6B">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left="244"/>
                    <w:jc w:val="center"/>
                    <w:textAlignment w:val="baseline"/>
                    <w:rPr>
                      <w:sz w:val="19"/>
                      <w:szCs w:val="19"/>
                    </w:rPr>
                  </w:pPr>
                  <w:r>
                    <w:rPr>
                      <w:rFonts w:hint="eastAsia"/>
                      <w:spacing w:val="1"/>
                      <w:sz w:val="19"/>
                      <w:szCs w:val="19"/>
                      <w:lang w:eastAsia="zh-CN"/>
                    </w:rPr>
                    <w:t>县</w:t>
                  </w:r>
                  <w:r>
                    <w:rPr>
                      <w:spacing w:val="1"/>
                      <w:sz w:val="19"/>
                      <w:szCs w:val="19"/>
                    </w:rPr>
                    <w:t>消防救援</w:t>
                  </w:r>
                  <w:r>
                    <w:rPr>
                      <w:rFonts w:hint="eastAsia"/>
                      <w:spacing w:val="1"/>
                      <w:sz w:val="19"/>
                      <w:szCs w:val="19"/>
                      <w:lang w:eastAsia="zh-CN"/>
                    </w:rPr>
                    <w:t>大</w:t>
                  </w:r>
                  <w:r>
                    <w:rPr>
                      <w:spacing w:val="1"/>
                      <w:sz w:val="19"/>
                      <w:szCs w:val="19"/>
                    </w:rPr>
                    <w:t>队</w:t>
                  </w:r>
                </w:p>
              </w:tc>
              <w:tc>
                <w:tcPr>
                  <w:tcW w:w="2190" w:type="dxa"/>
                  <w:vAlign w:val="top"/>
                </w:tcPr>
                <w:p w14:paraId="0C6C91AF">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50D086C1">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30DF7201">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0E869327">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hint="eastAsia" w:ascii="宋体" w:hAnsi="宋体" w:eastAsia="宋体" w:cs="宋体"/>
                      <w:snapToGrid w:val="0"/>
                      <w:color w:val="000000"/>
                      <w:spacing w:val="4"/>
                      <w:kern w:val="0"/>
                      <w:sz w:val="19"/>
                      <w:szCs w:val="19"/>
                      <w:lang w:val="en-US" w:eastAsia="zh-CN" w:bidi="ar-SA"/>
                    </w:rPr>
                  </w:pPr>
                </w:p>
                <w:p w14:paraId="2F4ACE58">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eastAsia="宋体"/>
                      <w:sz w:val="19"/>
                      <w:szCs w:val="19"/>
                      <w:lang w:eastAsia="zh-CN"/>
                    </w:rPr>
                  </w:pPr>
                  <w:r>
                    <w:rPr>
                      <w:rFonts w:hint="eastAsia" w:ascii="宋体" w:hAnsi="宋体" w:eastAsia="宋体" w:cs="宋体"/>
                      <w:snapToGrid w:val="0"/>
                      <w:color w:val="000000"/>
                      <w:spacing w:val="4"/>
                      <w:kern w:val="0"/>
                      <w:sz w:val="19"/>
                      <w:szCs w:val="19"/>
                      <w:lang w:val="en-US" w:eastAsia="zh-CN" w:bidi="ar-SA"/>
                    </w:rPr>
                    <w:t>县住建局、各镇人民政府</w:t>
                  </w:r>
                </w:p>
              </w:tc>
              <w:tc>
                <w:tcPr>
                  <w:tcW w:w="2930" w:type="dxa"/>
                  <w:vAlign w:val="top"/>
                </w:tcPr>
                <w:p w14:paraId="4BBCC5ED">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30F7EC2D">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48991661">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767ED08D">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69AE095C">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left="479"/>
                    <w:jc w:val="center"/>
                    <w:textAlignment w:val="baseline"/>
                    <w:rPr>
                      <w:sz w:val="19"/>
                      <w:szCs w:val="19"/>
                    </w:rPr>
                  </w:pPr>
                  <w:r>
                    <w:rPr>
                      <w:spacing w:val="-2"/>
                      <w:sz w:val="19"/>
                      <w:szCs w:val="19"/>
                    </w:rPr>
                    <w:t>长期坚持</w:t>
                  </w:r>
                </w:p>
              </w:tc>
            </w:tr>
          </w:tbl>
          <w:p w14:paraId="0DD4E673">
            <w:pPr>
              <w:keepNext w:val="0"/>
              <w:keepLines w:val="0"/>
              <w:pageBreakBefore w:val="0"/>
              <w:widowControl/>
              <w:kinsoku w:val="0"/>
              <w:wordWrap/>
              <w:overflowPunct/>
              <w:topLinePunct w:val="0"/>
              <w:autoSpaceDE w:val="0"/>
              <w:autoSpaceDN w:val="0"/>
              <w:bidi w:val="0"/>
              <w:adjustRightInd w:val="0"/>
              <w:snapToGrid w:val="0"/>
              <w:spacing w:line="480" w:lineRule="atLeast"/>
              <w:jc w:val="center"/>
              <w:textAlignment w:val="baseline"/>
              <w:rPr>
                <w:rFonts w:ascii="Arial"/>
                <w:sz w:val="21"/>
              </w:rPr>
            </w:pPr>
          </w:p>
        </w:tc>
        <w:tc>
          <w:tcPr>
            <w:tcW w:w="5796" w:type="dxa"/>
            <w:vAlign w:val="top"/>
          </w:tcPr>
          <w:p w14:paraId="37EEC980">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textAlignment w:val="baseline"/>
              <w:rPr>
                <w:rFonts w:hint="eastAsia"/>
                <w:sz w:val="19"/>
                <w:szCs w:val="19"/>
                <w:lang w:val="en-US" w:eastAsia="zh-CN"/>
              </w:rPr>
            </w:pPr>
            <w:r>
              <w:rPr>
                <w:sz w:val="19"/>
                <w:szCs w:val="19"/>
              </w:rPr>
              <w:t>15.民用建筑架空层不具备消防安全条件的，不得用作电动自行车停放充电场所。因场地不足确需使用民用建</w:t>
            </w:r>
            <w:r>
              <w:rPr>
                <w:spacing w:val="-1"/>
                <w:sz w:val="19"/>
                <w:szCs w:val="19"/>
              </w:rPr>
              <w:t>筑架空层作为停放充</w:t>
            </w:r>
            <w:r>
              <w:rPr>
                <w:sz w:val="19"/>
                <w:szCs w:val="19"/>
              </w:rPr>
              <w:t>电场所的，应与建筑内的通风采光井、公共部位、疏散通道、安全出口进行有效防火分隔，消防设施器材和</w:t>
            </w:r>
            <w:r>
              <w:rPr>
                <w:spacing w:val="-1"/>
                <w:sz w:val="19"/>
                <w:szCs w:val="19"/>
              </w:rPr>
              <w:t>视频监控设备须保持完好有效，实行车辆分组停放，并设置专用充电设施。建筑产权单位、使用单位、居住区物业服务企业负责做好架空层安全巡查</w:t>
            </w:r>
            <w:r>
              <w:rPr>
                <w:spacing w:val="1"/>
                <w:sz w:val="19"/>
                <w:szCs w:val="19"/>
              </w:rPr>
              <w:t>工作。</w:t>
            </w:r>
          </w:p>
        </w:tc>
        <w:tc>
          <w:tcPr>
            <w:tcW w:w="2045" w:type="dxa"/>
            <w:vAlign w:val="center"/>
          </w:tcPr>
          <w:p w14:paraId="16AF0CD4">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1"/>
                <w:sz w:val="19"/>
                <w:szCs w:val="19"/>
                <w:lang w:eastAsia="zh-CN"/>
              </w:rPr>
            </w:pPr>
            <w:r>
              <w:rPr>
                <w:rFonts w:hint="eastAsia"/>
                <w:spacing w:val="1"/>
                <w:sz w:val="19"/>
                <w:szCs w:val="19"/>
                <w:lang w:eastAsia="zh-CN"/>
              </w:rPr>
              <w:t>县</w:t>
            </w:r>
            <w:r>
              <w:rPr>
                <w:spacing w:val="1"/>
                <w:sz w:val="19"/>
                <w:szCs w:val="19"/>
              </w:rPr>
              <w:t>消防救援</w:t>
            </w:r>
            <w:r>
              <w:rPr>
                <w:rFonts w:hint="eastAsia"/>
                <w:spacing w:val="1"/>
                <w:sz w:val="19"/>
                <w:szCs w:val="19"/>
                <w:lang w:eastAsia="zh-CN"/>
              </w:rPr>
              <w:t>大</w:t>
            </w:r>
            <w:r>
              <w:rPr>
                <w:spacing w:val="1"/>
                <w:sz w:val="19"/>
                <w:szCs w:val="19"/>
              </w:rPr>
              <w:t>队</w:t>
            </w:r>
          </w:p>
        </w:tc>
        <w:tc>
          <w:tcPr>
            <w:tcW w:w="2150" w:type="dxa"/>
            <w:vAlign w:val="center"/>
          </w:tcPr>
          <w:p w14:paraId="05B41EB7">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1"/>
                <w:sz w:val="19"/>
                <w:szCs w:val="19"/>
                <w:lang w:eastAsia="zh-CN"/>
              </w:rPr>
            </w:pPr>
            <w:r>
              <w:rPr>
                <w:rFonts w:hint="eastAsia" w:ascii="宋体" w:hAnsi="宋体" w:eastAsia="宋体" w:cs="宋体"/>
                <w:snapToGrid w:val="0"/>
                <w:color w:val="000000"/>
                <w:spacing w:val="4"/>
                <w:kern w:val="0"/>
                <w:sz w:val="19"/>
                <w:szCs w:val="19"/>
                <w:lang w:val="en-US" w:eastAsia="zh-CN" w:bidi="ar-SA"/>
              </w:rPr>
              <w:t>县住建局、各镇人民政府</w:t>
            </w:r>
          </w:p>
        </w:tc>
        <w:tc>
          <w:tcPr>
            <w:tcW w:w="2980" w:type="dxa"/>
            <w:vAlign w:val="center"/>
          </w:tcPr>
          <w:p w14:paraId="39849B16">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spacing w:val="-2"/>
                <w:sz w:val="19"/>
                <w:szCs w:val="19"/>
              </w:rPr>
            </w:pPr>
            <w:r>
              <w:rPr>
                <w:spacing w:val="-2"/>
                <w:sz w:val="19"/>
                <w:szCs w:val="19"/>
              </w:rPr>
              <w:t>长期坚持</w:t>
            </w:r>
          </w:p>
        </w:tc>
      </w:tr>
      <w:tr w14:paraId="2A93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1211" w:type="dxa"/>
            <w:vMerge w:val="continue"/>
            <w:vAlign w:val="top"/>
          </w:tcPr>
          <w:p w14:paraId="19993153">
            <w:pPr>
              <w:keepNext w:val="0"/>
              <w:keepLines w:val="0"/>
              <w:pageBreakBefore w:val="0"/>
              <w:widowControl/>
              <w:kinsoku w:val="0"/>
              <w:wordWrap/>
              <w:overflowPunct/>
              <w:topLinePunct w:val="0"/>
              <w:autoSpaceDE w:val="0"/>
              <w:autoSpaceDN w:val="0"/>
              <w:bidi w:val="0"/>
              <w:adjustRightInd w:val="0"/>
              <w:snapToGrid w:val="0"/>
              <w:spacing w:line="480" w:lineRule="atLeast"/>
              <w:textAlignment w:val="baseline"/>
              <w:rPr>
                <w:rFonts w:ascii="Arial"/>
                <w:sz w:val="21"/>
              </w:rPr>
            </w:pPr>
          </w:p>
        </w:tc>
        <w:tc>
          <w:tcPr>
            <w:tcW w:w="5796" w:type="dxa"/>
            <w:vAlign w:val="top"/>
          </w:tcPr>
          <w:p w14:paraId="5D5BA5A1">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textAlignment w:val="baseline"/>
              <w:rPr>
                <w:rFonts w:hint="eastAsia"/>
                <w:sz w:val="19"/>
                <w:szCs w:val="19"/>
                <w:lang w:val="en-US" w:eastAsia="zh-CN"/>
              </w:rPr>
            </w:pPr>
            <w:r>
              <w:rPr>
                <w:sz w:val="19"/>
                <w:szCs w:val="19"/>
              </w:rPr>
              <w:t>16.指导充电设施运营单位合理确定收费标准，落实运营管理主体责任，建立专业的充电设施维护保养队伍，加强充电设施的日常</w:t>
            </w:r>
            <w:r>
              <w:rPr>
                <w:spacing w:val="-1"/>
                <w:sz w:val="19"/>
                <w:szCs w:val="19"/>
              </w:rPr>
              <w:t>维护检修和巡查登记。小区产权单位、业委会(物管会)或其授权</w:t>
            </w:r>
            <w:r>
              <w:rPr>
                <w:sz w:val="19"/>
                <w:szCs w:val="19"/>
              </w:rPr>
              <w:t>的物业服务企业等单位应督促充电设施运营企业履行职责，定期开展充电设施电气运行安全检查。</w:t>
            </w:r>
          </w:p>
        </w:tc>
        <w:tc>
          <w:tcPr>
            <w:tcW w:w="4195" w:type="dxa"/>
            <w:gridSpan w:val="2"/>
            <w:vAlign w:val="center"/>
          </w:tcPr>
          <w:p w14:paraId="1056E911">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32" w:rightChars="0"/>
              <w:jc w:val="center"/>
              <w:textAlignment w:val="baseline"/>
              <w:rPr>
                <w:rFonts w:hint="eastAsia"/>
                <w:spacing w:val="1"/>
                <w:sz w:val="19"/>
                <w:szCs w:val="19"/>
                <w:lang w:eastAsia="zh-CN"/>
              </w:rPr>
            </w:pPr>
            <w:r>
              <w:rPr>
                <w:rFonts w:hint="eastAsia"/>
                <w:sz w:val="19"/>
                <w:szCs w:val="19"/>
                <w:lang w:eastAsia="zh-CN"/>
              </w:rPr>
              <w:t>县</w:t>
            </w:r>
            <w:r>
              <w:rPr>
                <w:sz w:val="19"/>
                <w:szCs w:val="19"/>
              </w:rPr>
              <w:t>住建局、</w:t>
            </w:r>
            <w:r>
              <w:rPr>
                <w:rFonts w:hint="eastAsia"/>
                <w:sz w:val="19"/>
                <w:szCs w:val="19"/>
                <w:lang w:eastAsia="zh-CN"/>
              </w:rPr>
              <w:t>县</w:t>
            </w:r>
            <w:r>
              <w:rPr>
                <w:sz w:val="19"/>
                <w:szCs w:val="19"/>
              </w:rPr>
              <w:t>应急局</w:t>
            </w:r>
            <w:r>
              <w:rPr>
                <w:rFonts w:hint="eastAsia"/>
                <w:sz w:val="19"/>
                <w:szCs w:val="19"/>
                <w:lang w:eastAsia="zh-CN"/>
              </w:rPr>
              <w:t>、县</w:t>
            </w:r>
            <w:r>
              <w:rPr>
                <w:sz w:val="19"/>
                <w:szCs w:val="19"/>
              </w:rPr>
              <w:t>消防救援</w:t>
            </w:r>
            <w:r>
              <w:rPr>
                <w:rFonts w:hint="eastAsia"/>
                <w:sz w:val="19"/>
                <w:szCs w:val="19"/>
                <w:lang w:eastAsia="zh-CN"/>
              </w:rPr>
              <w:t>大</w:t>
            </w:r>
            <w:r>
              <w:rPr>
                <w:sz w:val="19"/>
                <w:szCs w:val="19"/>
              </w:rPr>
              <w:t>队、</w:t>
            </w:r>
            <w:r>
              <w:rPr>
                <w:rFonts w:hint="eastAsia"/>
                <w:sz w:val="19"/>
                <w:szCs w:val="19"/>
                <w:lang w:eastAsia="zh-CN"/>
              </w:rPr>
              <w:t>县</w:t>
            </w:r>
            <w:r>
              <w:rPr>
                <w:sz w:val="19"/>
                <w:szCs w:val="19"/>
              </w:rPr>
              <w:t>市场监督管理局</w:t>
            </w:r>
            <w:r>
              <w:rPr>
                <w:rFonts w:hint="eastAsia"/>
                <w:sz w:val="19"/>
                <w:szCs w:val="19"/>
                <w:lang w:eastAsia="zh-CN"/>
              </w:rPr>
              <w:t>、</w:t>
            </w:r>
            <w:r>
              <w:rPr>
                <w:sz w:val="19"/>
                <w:szCs w:val="19"/>
              </w:rPr>
              <w:t>各</w:t>
            </w:r>
            <w:r>
              <w:rPr>
                <w:rFonts w:hint="eastAsia"/>
                <w:sz w:val="19"/>
                <w:szCs w:val="19"/>
                <w:lang w:eastAsia="zh-CN"/>
              </w:rPr>
              <w:t>镇</w:t>
            </w:r>
            <w:r>
              <w:rPr>
                <w:sz w:val="19"/>
                <w:szCs w:val="19"/>
              </w:rPr>
              <w:t>人民</w:t>
            </w:r>
            <w:r>
              <w:rPr>
                <w:rFonts w:ascii="宋体" w:hAnsi="宋体" w:eastAsia="宋体" w:cs="宋体"/>
                <w:sz w:val="19"/>
                <w:szCs w:val="19"/>
              </w:rPr>
              <w:t>政府依据职责指导</w:t>
            </w:r>
          </w:p>
        </w:tc>
        <w:tc>
          <w:tcPr>
            <w:tcW w:w="2980" w:type="dxa"/>
            <w:vAlign w:val="center"/>
          </w:tcPr>
          <w:p w14:paraId="467917D7">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spacing w:val="-2"/>
                <w:sz w:val="19"/>
                <w:szCs w:val="19"/>
              </w:rPr>
            </w:pPr>
            <w:r>
              <w:rPr>
                <w:spacing w:val="-2"/>
                <w:sz w:val="19"/>
                <w:szCs w:val="19"/>
              </w:rPr>
              <w:t>长期坚持</w:t>
            </w:r>
          </w:p>
        </w:tc>
      </w:tr>
      <w:tr w14:paraId="289B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11" w:type="dxa"/>
            <w:vMerge w:val="continue"/>
            <w:vAlign w:val="top"/>
          </w:tcPr>
          <w:p w14:paraId="7896BB00">
            <w:pPr>
              <w:keepNext w:val="0"/>
              <w:keepLines w:val="0"/>
              <w:pageBreakBefore w:val="0"/>
              <w:widowControl/>
              <w:kinsoku w:val="0"/>
              <w:wordWrap/>
              <w:overflowPunct/>
              <w:topLinePunct w:val="0"/>
              <w:autoSpaceDE w:val="0"/>
              <w:autoSpaceDN w:val="0"/>
              <w:bidi w:val="0"/>
              <w:adjustRightInd w:val="0"/>
              <w:snapToGrid w:val="0"/>
              <w:spacing w:line="480" w:lineRule="atLeast"/>
              <w:textAlignment w:val="baseline"/>
              <w:rPr>
                <w:rFonts w:ascii="Arial"/>
                <w:sz w:val="21"/>
              </w:rPr>
            </w:pPr>
          </w:p>
        </w:tc>
        <w:tc>
          <w:tcPr>
            <w:tcW w:w="5796" w:type="dxa"/>
            <w:vAlign w:val="top"/>
          </w:tcPr>
          <w:p w14:paraId="4F47D583">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rFonts w:hint="eastAsia"/>
                <w:sz w:val="19"/>
                <w:szCs w:val="19"/>
                <w:lang w:val="en-US" w:eastAsia="zh-CN"/>
              </w:rPr>
            </w:pPr>
            <w:r>
              <w:rPr>
                <w:sz w:val="19"/>
                <w:szCs w:val="19"/>
              </w:rPr>
              <w:t>17.指导督促电力企业主动承建停放充电设施，减收或免收服务费</w:t>
            </w:r>
            <w:r>
              <w:rPr>
                <w:spacing w:val="-3"/>
                <w:sz w:val="19"/>
                <w:szCs w:val="19"/>
              </w:rPr>
              <w:t>。居民住宅小区充电电价一律按居民电价执行，引导企业合理确</w:t>
            </w:r>
            <w:r>
              <w:rPr>
                <w:sz w:val="19"/>
                <w:szCs w:val="19"/>
              </w:rPr>
              <w:t>定充电服务价格标准。指导督促电网企业按照国家提升“获得电</w:t>
            </w:r>
            <w:r>
              <w:rPr>
                <w:spacing w:val="2"/>
                <w:sz w:val="19"/>
                <w:szCs w:val="19"/>
              </w:rPr>
              <w:t>力”服务水平“三零”政策要求和相关技术标准规定，做好充电设施接电服务工作。引导社会力量积极参与电动自行车停放充电设施建设，降低充电服务费用。建筑产权单位、使用单位和居住</w:t>
            </w:r>
            <w:r>
              <w:rPr>
                <w:spacing w:val="14"/>
                <w:sz w:val="19"/>
                <w:szCs w:val="19"/>
              </w:rPr>
              <w:t xml:space="preserve"> </w:t>
            </w:r>
            <w:r>
              <w:rPr>
                <w:sz w:val="19"/>
                <w:szCs w:val="19"/>
              </w:rPr>
              <w:t>区物业服务企业应积极创造条件，帮助居民降低充</w:t>
            </w:r>
            <w:r>
              <w:rPr>
                <w:spacing w:val="-1"/>
                <w:sz w:val="19"/>
                <w:szCs w:val="19"/>
              </w:rPr>
              <w:t>电服务价格。充电设施运营管理单位应公示充电和服务价格，不得收取任何未</w:t>
            </w:r>
            <w:r>
              <w:rPr>
                <w:sz w:val="19"/>
                <w:szCs w:val="19"/>
              </w:rPr>
              <w:t>经公示的费用。</w:t>
            </w:r>
          </w:p>
        </w:tc>
        <w:tc>
          <w:tcPr>
            <w:tcW w:w="2045" w:type="dxa"/>
            <w:vAlign w:val="center"/>
          </w:tcPr>
          <w:p w14:paraId="519A0B8A">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both"/>
              <w:textAlignment w:val="baseline"/>
              <w:rPr>
                <w:rFonts w:hint="eastAsia"/>
                <w:spacing w:val="1"/>
                <w:sz w:val="19"/>
                <w:szCs w:val="19"/>
                <w:lang w:eastAsia="zh-CN"/>
              </w:rPr>
            </w:pPr>
            <w:r>
              <w:rPr>
                <w:rFonts w:hint="eastAsia" w:ascii="宋体" w:hAnsi="宋体" w:eastAsia="宋体" w:cs="宋体"/>
                <w:snapToGrid w:val="0"/>
                <w:color w:val="000000"/>
                <w:spacing w:val="1"/>
                <w:kern w:val="0"/>
                <w:sz w:val="20"/>
                <w:szCs w:val="20"/>
                <w:lang w:val="en-US" w:eastAsia="en-US" w:bidi="ar-SA"/>
              </w:rPr>
              <w:t>县</w:t>
            </w:r>
            <w:r>
              <w:rPr>
                <w:rFonts w:hint="eastAsia" w:ascii="宋体" w:hAnsi="宋体" w:eastAsia="宋体" w:cs="宋体"/>
                <w:snapToGrid w:val="0"/>
                <w:color w:val="000000"/>
                <w:spacing w:val="1"/>
                <w:kern w:val="0"/>
                <w:sz w:val="20"/>
                <w:szCs w:val="20"/>
                <w:lang w:val="en-US" w:eastAsia="zh-CN" w:bidi="ar-SA"/>
              </w:rPr>
              <w:t>发展和改革局（</w:t>
            </w:r>
            <w:r>
              <w:rPr>
                <w:rFonts w:hint="eastAsia" w:ascii="宋体" w:hAnsi="宋体" w:eastAsia="宋体" w:cs="宋体"/>
                <w:snapToGrid w:val="0"/>
                <w:color w:val="000000"/>
                <w:spacing w:val="1"/>
                <w:kern w:val="0"/>
                <w:sz w:val="20"/>
                <w:szCs w:val="20"/>
                <w:lang w:val="en-US" w:eastAsia="en-US" w:bidi="ar-SA"/>
              </w:rPr>
              <w:t>能源局</w:t>
            </w:r>
            <w:r>
              <w:rPr>
                <w:rFonts w:hint="eastAsia" w:ascii="宋体" w:hAnsi="宋体" w:eastAsia="宋体" w:cs="宋体"/>
                <w:snapToGrid w:val="0"/>
                <w:color w:val="000000"/>
                <w:spacing w:val="1"/>
                <w:kern w:val="0"/>
                <w:sz w:val="20"/>
                <w:szCs w:val="20"/>
                <w:lang w:val="en-US" w:eastAsia="zh-CN" w:bidi="ar-SA"/>
              </w:rPr>
              <w:t>）</w:t>
            </w:r>
          </w:p>
        </w:tc>
        <w:tc>
          <w:tcPr>
            <w:tcW w:w="2150" w:type="dxa"/>
            <w:vAlign w:val="center"/>
          </w:tcPr>
          <w:p w14:paraId="77772A6B">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192D53D9">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5234368F">
            <w:pPr>
              <w:keepNext w:val="0"/>
              <w:keepLines w:val="0"/>
              <w:pageBreakBefore w:val="0"/>
              <w:widowControl/>
              <w:kinsoku w:val="0"/>
              <w:wordWrap/>
              <w:overflowPunct/>
              <w:topLinePunct w:val="0"/>
              <w:autoSpaceDE w:val="0"/>
              <w:autoSpaceDN w:val="0"/>
              <w:bidi w:val="0"/>
              <w:adjustRightInd w:val="0"/>
              <w:snapToGrid w:val="0"/>
              <w:spacing w:line="160" w:lineRule="atLeast"/>
              <w:jc w:val="center"/>
              <w:textAlignment w:val="baseline"/>
              <w:rPr>
                <w:rFonts w:ascii="Arial"/>
                <w:sz w:val="21"/>
              </w:rPr>
            </w:pPr>
          </w:p>
          <w:p w14:paraId="43BA59D0">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1"/>
                <w:sz w:val="19"/>
                <w:szCs w:val="19"/>
                <w:lang w:eastAsia="zh-CN"/>
              </w:rPr>
            </w:pPr>
            <w:r>
              <w:rPr>
                <w:rFonts w:hint="eastAsia"/>
                <w:spacing w:val="9"/>
                <w:sz w:val="19"/>
                <w:szCs w:val="19"/>
                <w:lang w:eastAsia="zh-CN"/>
              </w:rPr>
              <w:t>县</w:t>
            </w:r>
            <w:r>
              <w:rPr>
                <w:spacing w:val="9"/>
                <w:sz w:val="19"/>
                <w:szCs w:val="19"/>
              </w:rPr>
              <w:t>市场监督管理局、</w:t>
            </w:r>
            <w:r>
              <w:rPr>
                <w:rFonts w:hint="eastAsia"/>
                <w:spacing w:val="1"/>
                <w:sz w:val="19"/>
                <w:szCs w:val="19"/>
                <w:lang w:eastAsia="zh-CN"/>
              </w:rPr>
              <w:t>县</w:t>
            </w:r>
            <w:r>
              <w:rPr>
                <w:spacing w:val="-1"/>
                <w:sz w:val="19"/>
                <w:szCs w:val="19"/>
              </w:rPr>
              <w:t>财政局</w:t>
            </w:r>
            <w:r>
              <w:rPr>
                <w:rFonts w:hint="eastAsia"/>
                <w:spacing w:val="-1"/>
                <w:sz w:val="19"/>
                <w:szCs w:val="19"/>
                <w:lang w:eastAsia="zh-CN"/>
              </w:rPr>
              <w:t>、晋能控股电力集团地电方山分公司、</w:t>
            </w:r>
            <w:r>
              <w:rPr>
                <w:rFonts w:ascii="宋体" w:hAnsi="宋体" w:eastAsia="宋体" w:cs="宋体"/>
                <w:sz w:val="19"/>
                <w:szCs w:val="19"/>
              </w:rPr>
              <w:t>各</w:t>
            </w:r>
            <w:r>
              <w:rPr>
                <w:rFonts w:hint="eastAsia" w:ascii="宋体" w:hAnsi="宋体" w:eastAsia="宋体" w:cs="宋体"/>
                <w:sz w:val="19"/>
                <w:szCs w:val="19"/>
                <w:lang w:eastAsia="zh-CN"/>
              </w:rPr>
              <w:t>镇</w:t>
            </w:r>
            <w:r>
              <w:rPr>
                <w:rFonts w:ascii="宋体" w:hAnsi="宋体" w:eastAsia="宋体" w:cs="宋体"/>
                <w:sz w:val="19"/>
                <w:szCs w:val="19"/>
              </w:rPr>
              <w:t>人民政府</w:t>
            </w:r>
          </w:p>
        </w:tc>
        <w:tc>
          <w:tcPr>
            <w:tcW w:w="2980" w:type="dxa"/>
            <w:vAlign w:val="center"/>
          </w:tcPr>
          <w:p w14:paraId="741DD4C1">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spacing w:val="-2"/>
                <w:sz w:val="19"/>
                <w:szCs w:val="19"/>
              </w:rPr>
            </w:pPr>
            <w:r>
              <w:rPr>
                <w:spacing w:val="-2"/>
                <w:sz w:val="19"/>
                <w:szCs w:val="19"/>
              </w:rPr>
              <w:t>长期坚持</w:t>
            </w:r>
          </w:p>
        </w:tc>
      </w:tr>
      <w:tr w14:paraId="21C0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1211" w:type="dxa"/>
            <w:vMerge w:val="continue"/>
            <w:vAlign w:val="top"/>
          </w:tcPr>
          <w:p w14:paraId="11B795C9">
            <w:pPr>
              <w:keepNext w:val="0"/>
              <w:keepLines w:val="0"/>
              <w:pageBreakBefore w:val="0"/>
              <w:widowControl/>
              <w:kinsoku w:val="0"/>
              <w:wordWrap/>
              <w:overflowPunct/>
              <w:topLinePunct w:val="0"/>
              <w:autoSpaceDE w:val="0"/>
              <w:autoSpaceDN w:val="0"/>
              <w:bidi w:val="0"/>
              <w:adjustRightInd w:val="0"/>
              <w:snapToGrid w:val="0"/>
              <w:spacing w:line="480" w:lineRule="atLeast"/>
              <w:textAlignment w:val="baseline"/>
              <w:rPr>
                <w:rFonts w:ascii="Arial"/>
                <w:sz w:val="21"/>
              </w:rPr>
            </w:pPr>
          </w:p>
        </w:tc>
        <w:tc>
          <w:tcPr>
            <w:tcW w:w="5796" w:type="dxa"/>
            <w:vAlign w:val="top"/>
          </w:tcPr>
          <w:p w14:paraId="55D4653C">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rFonts w:hint="eastAsia"/>
                <w:sz w:val="19"/>
                <w:szCs w:val="19"/>
                <w:lang w:val="en-US" w:eastAsia="zh-CN"/>
              </w:rPr>
              <w:t>18.</w:t>
            </w:r>
            <w:r>
              <w:rPr>
                <w:sz w:val="19"/>
                <w:szCs w:val="19"/>
              </w:rPr>
              <w:t>消防、公安、综合执法等部门</w:t>
            </w:r>
            <w:r>
              <w:rPr>
                <w:rFonts w:hint="eastAsia"/>
                <w:sz w:val="19"/>
                <w:szCs w:val="19"/>
                <w:lang w:eastAsia="zh-CN"/>
              </w:rPr>
              <w:t>和（乡）镇</w:t>
            </w:r>
            <w:r>
              <w:rPr>
                <w:sz w:val="19"/>
                <w:szCs w:val="19"/>
              </w:rPr>
              <w:t>要加强联合检查依法对“进楼入户”“飞线充电”等违规停放充电行为开展执法查处、检查劝阻和宣传提示。住房和城乡建设部门督促物业服务企业按照合同约定对服务区域内电动自行车堵塞占用疏散通道、安全出口等违规行为及时采取制止措施，对拒不改正、情节严重的及时报告村(居)民委员会、</w:t>
            </w:r>
            <w:r>
              <w:rPr>
                <w:rFonts w:hint="eastAsia"/>
                <w:sz w:val="19"/>
                <w:szCs w:val="19"/>
                <w:lang w:val="en-US" w:eastAsia="zh-CN"/>
              </w:rPr>
              <w:t>（乡）</w:t>
            </w:r>
            <w:r>
              <w:rPr>
                <w:sz w:val="19"/>
                <w:szCs w:val="19"/>
              </w:rPr>
              <w:t>镇或公安派出所、消防等部门并协助处理。未设物业服务企业的居民小区，当地政府明确电动自行车停放充电场所的消防安全管理人员，负责安全提示防火巡查等工作，及时纠治群众举报、媒体曝光的违规停放充电行为。</w:t>
            </w:r>
          </w:p>
        </w:tc>
        <w:tc>
          <w:tcPr>
            <w:tcW w:w="2045" w:type="dxa"/>
            <w:vAlign w:val="center"/>
          </w:tcPr>
          <w:p w14:paraId="3BDC61CD">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spacing w:val="9"/>
                <w:sz w:val="19"/>
                <w:szCs w:val="19"/>
              </w:rPr>
            </w:pPr>
            <w:r>
              <w:rPr>
                <w:rFonts w:hint="eastAsia"/>
                <w:spacing w:val="9"/>
                <w:sz w:val="19"/>
                <w:szCs w:val="19"/>
                <w:lang w:eastAsia="zh-CN"/>
              </w:rPr>
              <w:t>县</w:t>
            </w:r>
            <w:r>
              <w:rPr>
                <w:spacing w:val="9"/>
                <w:sz w:val="19"/>
                <w:szCs w:val="19"/>
              </w:rPr>
              <w:t>消防救援</w:t>
            </w:r>
            <w:r>
              <w:rPr>
                <w:rFonts w:hint="eastAsia"/>
                <w:spacing w:val="9"/>
                <w:sz w:val="19"/>
                <w:szCs w:val="19"/>
                <w:lang w:eastAsia="zh-CN"/>
              </w:rPr>
              <w:t>大</w:t>
            </w:r>
            <w:r>
              <w:rPr>
                <w:spacing w:val="9"/>
                <w:sz w:val="19"/>
                <w:szCs w:val="19"/>
              </w:rPr>
              <w:t>队</w:t>
            </w:r>
          </w:p>
        </w:tc>
        <w:tc>
          <w:tcPr>
            <w:tcW w:w="2150" w:type="dxa"/>
            <w:vAlign w:val="center"/>
          </w:tcPr>
          <w:p w14:paraId="1FCB0BCB">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9"/>
                <w:sz w:val="19"/>
                <w:szCs w:val="19"/>
                <w:lang w:eastAsia="zh-CN"/>
              </w:rPr>
            </w:pPr>
            <w:r>
              <w:rPr>
                <w:rFonts w:hint="eastAsia"/>
                <w:spacing w:val="9"/>
                <w:sz w:val="19"/>
                <w:szCs w:val="19"/>
                <w:lang w:eastAsia="zh-CN"/>
              </w:rPr>
              <w:t>县</w:t>
            </w:r>
            <w:r>
              <w:rPr>
                <w:spacing w:val="9"/>
                <w:sz w:val="19"/>
                <w:szCs w:val="19"/>
              </w:rPr>
              <w:t>住建局、</w:t>
            </w:r>
            <w:r>
              <w:rPr>
                <w:rFonts w:hint="eastAsia"/>
                <w:spacing w:val="9"/>
                <w:sz w:val="19"/>
                <w:szCs w:val="19"/>
                <w:lang w:eastAsia="zh-CN"/>
              </w:rPr>
              <w:t>县</w:t>
            </w:r>
            <w:r>
              <w:rPr>
                <w:spacing w:val="9"/>
                <w:sz w:val="19"/>
                <w:szCs w:val="19"/>
              </w:rPr>
              <w:t>公安局</w:t>
            </w:r>
            <w:r>
              <w:rPr>
                <w:rFonts w:hint="eastAsia"/>
                <w:spacing w:val="9"/>
                <w:sz w:val="19"/>
                <w:szCs w:val="19"/>
                <w:lang w:eastAsia="zh-CN"/>
              </w:rPr>
              <w:t>、</w:t>
            </w:r>
            <w:r>
              <w:rPr>
                <w:spacing w:val="9"/>
                <w:sz w:val="19"/>
                <w:szCs w:val="19"/>
              </w:rPr>
              <w:t>各</w:t>
            </w:r>
            <w:r>
              <w:rPr>
                <w:rFonts w:hint="eastAsia"/>
                <w:spacing w:val="9"/>
                <w:sz w:val="19"/>
                <w:szCs w:val="19"/>
                <w:lang w:eastAsia="zh-CN"/>
              </w:rPr>
              <w:t>镇</w:t>
            </w:r>
            <w:r>
              <w:rPr>
                <w:spacing w:val="9"/>
                <w:sz w:val="19"/>
                <w:szCs w:val="19"/>
              </w:rPr>
              <w:t>人民政府</w:t>
            </w:r>
          </w:p>
        </w:tc>
        <w:tc>
          <w:tcPr>
            <w:tcW w:w="2980" w:type="dxa"/>
            <w:vAlign w:val="center"/>
          </w:tcPr>
          <w:p w14:paraId="1357C1CF">
            <w:pPr>
              <w:pStyle w:val="6"/>
              <w:keepNext w:val="0"/>
              <w:keepLines w:val="0"/>
              <w:pageBreakBefore w:val="0"/>
              <w:widowControl/>
              <w:kinsoku w:val="0"/>
              <w:wordWrap/>
              <w:overflowPunct/>
              <w:topLinePunct w:val="0"/>
              <w:autoSpaceDE w:val="0"/>
              <w:autoSpaceDN w:val="0"/>
              <w:bidi w:val="0"/>
              <w:adjustRightInd w:val="0"/>
              <w:snapToGrid w:val="0"/>
              <w:spacing w:before="62" w:line="480" w:lineRule="atLeast"/>
              <w:jc w:val="center"/>
              <w:textAlignment w:val="baseline"/>
              <w:rPr>
                <w:sz w:val="19"/>
                <w:szCs w:val="19"/>
              </w:rPr>
            </w:pPr>
            <w:r>
              <w:rPr>
                <w:spacing w:val="-2"/>
                <w:sz w:val="19"/>
                <w:szCs w:val="19"/>
              </w:rPr>
              <w:t>长期坚持</w:t>
            </w:r>
          </w:p>
        </w:tc>
      </w:tr>
      <w:tr w14:paraId="38E6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211" w:type="dxa"/>
            <w:vMerge w:val="continue"/>
            <w:vAlign w:val="top"/>
          </w:tcPr>
          <w:p w14:paraId="2AF60146">
            <w:pPr>
              <w:keepNext w:val="0"/>
              <w:keepLines w:val="0"/>
              <w:pageBreakBefore w:val="0"/>
              <w:widowControl/>
              <w:kinsoku w:val="0"/>
              <w:wordWrap/>
              <w:overflowPunct/>
              <w:topLinePunct w:val="0"/>
              <w:autoSpaceDE w:val="0"/>
              <w:autoSpaceDN w:val="0"/>
              <w:bidi w:val="0"/>
              <w:adjustRightInd w:val="0"/>
              <w:snapToGrid w:val="0"/>
              <w:spacing w:line="480" w:lineRule="atLeast"/>
              <w:textAlignment w:val="baseline"/>
              <w:rPr>
                <w:rFonts w:ascii="Arial"/>
                <w:sz w:val="21"/>
              </w:rPr>
            </w:pPr>
          </w:p>
        </w:tc>
        <w:tc>
          <w:tcPr>
            <w:tcW w:w="5796" w:type="dxa"/>
            <w:vAlign w:val="top"/>
          </w:tcPr>
          <w:p w14:paraId="00B75DB0">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rPr>
              <w:t>19.1引导充电设施建设运营单位建立数据平台，对充电设施实时监控，确保建设运营单位能及时掌握充电设施总体状况并提供相关数据。</w:t>
            </w:r>
          </w:p>
        </w:tc>
        <w:tc>
          <w:tcPr>
            <w:tcW w:w="2045" w:type="dxa"/>
            <w:vMerge w:val="restart"/>
            <w:tcBorders>
              <w:bottom w:val="nil"/>
            </w:tcBorders>
            <w:vAlign w:val="center"/>
          </w:tcPr>
          <w:p w14:paraId="3A5E8649">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9"/>
                <w:sz w:val="19"/>
                <w:szCs w:val="19"/>
                <w:lang w:eastAsia="zh-CN"/>
              </w:rPr>
            </w:pPr>
            <w:r>
              <w:rPr>
                <w:rFonts w:hint="eastAsia"/>
                <w:spacing w:val="9"/>
                <w:sz w:val="19"/>
                <w:szCs w:val="19"/>
                <w:lang w:eastAsia="zh-CN"/>
              </w:rPr>
              <w:t>县市场监督管理局、县消防救援大队</w:t>
            </w:r>
          </w:p>
        </w:tc>
        <w:tc>
          <w:tcPr>
            <w:tcW w:w="2150" w:type="dxa"/>
            <w:vMerge w:val="restart"/>
            <w:tcBorders>
              <w:bottom w:val="nil"/>
            </w:tcBorders>
            <w:vAlign w:val="center"/>
          </w:tcPr>
          <w:p w14:paraId="09BA0432">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9"/>
                <w:sz w:val="19"/>
                <w:szCs w:val="19"/>
                <w:lang w:eastAsia="zh-CN"/>
              </w:rPr>
            </w:pPr>
            <w:r>
              <w:rPr>
                <w:rFonts w:hint="eastAsia"/>
                <w:spacing w:val="9"/>
                <w:sz w:val="19"/>
                <w:szCs w:val="19"/>
                <w:lang w:eastAsia="zh-CN"/>
              </w:rPr>
              <w:t>县住建局、各镇人民政府</w:t>
            </w:r>
          </w:p>
        </w:tc>
        <w:tc>
          <w:tcPr>
            <w:tcW w:w="2980" w:type="dxa"/>
            <w:vAlign w:val="center"/>
          </w:tcPr>
          <w:p w14:paraId="47D23D55">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9"/>
                <w:sz w:val="19"/>
                <w:szCs w:val="19"/>
                <w:lang w:eastAsia="zh-CN"/>
              </w:rPr>
            </w:pPr>
            <w:r>
              <w:rPr>
                <w:rFonts w:hint="eastAsia"/>
                <w:spacing w:val="9"/>
                <w:sz w:val="19"/>
                <w:szCs w:val="19"/>
                <w:lang w:eastAsia="zh-CN"/>
              </w:rPr>
              <w:t>2025年底前完成</w:t>
            </w:r>
          </w:p>
        </w:tc>
      </w:tr>
      <w:tr w14:paraId="132D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11" w:type="dxa"/>
            <w:vMerge w:val="continue"/>
            <w:vAlign w:val="top"/>
          </w:tcPr>
          <w:p w14:paraId="74136668">
            <w:pPr>
              <w:keepNext w:val="0"/>
              <w:keepLines w:val="0"/>
              <w:pageBreakBefore w:val="0"/>
              <w:widowControl/>
              <w:kinsoku w:val="0"/>
              <w:wordWrap/>
              <w:overflowPunct/>
              <w:topLinePunct w:val="0"/>
              <w:autoSpaceDE w:val="0"/>
              <w:autoSpaceDN w:val="0"/>
              <w:bidi w:val="0"/>
              <w:adjustRightInd w:val="0"/>
              <w:snapToGrid w:val="0"/>
              <w:spacing w:line="480" w:lineRule="atLeast"/>
              <w:textAlignment w:val="baseline"/>
              <w:rPr>
                <w:rFonts w:ascii="Arial"/>
                <w:sz w:val="21"/>
              </w:rPr>
            </w:pPr>
          </w:p>
        </w:tc>
        <w:tc>
          <w:tcPr>
            <w:tcW w:w="5796" w:type="dxa"/>
            <w:vAlign w:val="top"/>
          </w:tcPr>
          <w:p w14:paraId="60931F75">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lang w:val="en-US" w:eastAsia="en-US"/>
              </w:rPr>
            </w:pPr>
            <w:r>
              <w:rPr>
                <w:sz w:val="19"/>
                <w:szCs w:val="19"/>
                <w:lang w:val="en-US" w:eastAsia="en-US"/>
              </w:rPr>
              <w:t>19.2引导充电设施运营单位和即时配送企业推广蓄电池换电模式，探索形成一套符合本地实际的蓄电池换电管理经验。</w:t>
            </w:r>
          </w:p>
        </w:tc>
        <w:tc>
          <w:tcPr>
            <w:tcW w:w="2045" w:type="dxa"/>
            <w:vMerge w:val="continue"/>
            <w:tcBorders>
              <w:top w:val="nil"/>
              <w:bottom w:val="nil"/>
            </w:tcBorders>
            <w:vAlign w:val="center"/>
          </w:tcPr>
          <w:p w14:paraId="5A75A2AB">
            <w:pPr>
              <w:keepNext w:val="0"/>
              <w:keepLines w:val="0"/>
              <w:pageBreakBefore w:val="0"/>
              <w:widowControl/>
              <w:kinsoku w:val="0"/>
              <w:wordWrap/>
              <w:overflowPunct/>
              <w:topLinePunct w:val="0"/>
              <w:autoSpaceDE w:val="0"/>
              <w:autoSpaceDN w:val="0"/>
              <w:bidi w:val="0"/>
              <w:adjustRightInd w:val="0"/>
              <w:snapToGrid w:val="0"/>
              <w:spacing w:line="480" w:lineRule="atLeast"/>
              <w:jc w:val="center"/>
              <w:textAlignment w:val="baseline"/>
              <w:rPr>
                <w:rFonts w:ascii="Arial"/>
                <w:sz w:val="21"/>
              </w:rPr>
            </w:pPr>
          </w:p>
        </w:tc>
        <w:tc>
          <w:tcPr>
            <w:tcW w:w="2150" w:type="dxa"/>
            <w:vMerge w:val="continue"/>
            <w:tcBorders>
              <w:top w:val="nil"/>
              <w:bottom w:val="nil"/>
            </w:tcBorders>
            <w:vAlign w:val="center"/>
          </w:tcPr>
          <w:p w14:paraId="68016644">
            <w:pPr>
              <w:keepNext w:val="0"/>
              <w:keepLines w:val="0"/>
              <w:pageBreakBefore w:val="0"/>
              <w:widowControl/>
              <w:kinsoku w:val="0"/>
              <w:wordWrap/>
              <w:overflowPunct/>
              <w:topLinePunct w:val="0"/>
              <w:autoSpaceDE w:val="0"/>
              <w:autoSpaceDN w:val="0"/>
              <w:bidi w:val="0"/>
              <w:adjustRightInd w:val="0"/>
              <w:snapToGrid w:val="0"/>
              <w:spacing w:line="480" w:lineRule="atLeast"/>
              <w:jc w:val="center"/>
              <w:textAlignment w:val="baseline"/>
              <w:rPr>
                <w:rFonts w:ascii="Arial"/>
                <w:sz w:val="21"/>
              </w:rPr>
            </w:pPr>
          </w:p>
        </w:tc>
        <w:tc>
          <w:tcPr>
            <w:tcW w:w="2980" w:type="dxa"/>
            <w:vAlign w:val="center"/>
          </w:tcPr>
          <w:p w14:paraId="35DE0E89">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9"/>
                <w:sz w:val="19"/>
                <w:szCs w:val="19"/>
                <w:lang w:eastAsia="zh-CN"/>
              </w:rPr>
            </w:pPr>
            <w:r>
              <w:rPr>
                <w:rFonts w:hint="eastAsia"/>
                <w:spacing w:val="9"/>
                <w:sz w:val="19"/>
                <w:szCs w:val="19"/>
                <w:lang w:eastAsia="zh-CN"/>
              </w:rPr>
              <w:t>2025年底前完成</w:t>
            </w:r>
          </w:p>
        </w:tc>
      </w:tr>
      <w:tr w14:paraId="474A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11" w:type="dxa"/>
            <w:vMerge w:val="continue"/>
            <w:vAlign w:val="top"/>
          </w:tcPr>
          <w:p w14:paraId="3043C08F">
            <w:pPr>
              <w:keepNext w:val="0"/>
              <w:keepLines w:val="0"/>
              <w:pageBreakBefore w:val="0"/>
              <w:widowControl/>
              <w:kinsoku w:val="0"/>
              <w:wordWrap/>
              <w:overflowPunct/>
              <w:topLinePunct w:val="0"/>
              <w:autoSpaceDE w:val="0"/>
              <w:autoSpaceDN w:val="0"/>
              <w:bidi w:val="0"/>
              <w:adjustRightInd w:val="0"/>
              <w:snapToGrid w:val="0"/>
              <w:spacing w:line="480" w:lineRule="atLeast"/>
              <w:textAlignment w:val="baseline"/>
              <w:rPr>
                <w:rFonts w:ascii="Arial"/>
                <w:sz w:val="21"/>
              </w:rPr>
            </w:pPr>
          </w:p>
        </w:tc>
        <w:tc>
          <w:tcPr>
            <w:tcW w:w="5796" w:type="dxa"/>
            <w:vAlign w:val="top"/>
          </w:tcPr>
          <w:p w14:paraId="27FE02D4">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lang w:val="en-US" w:eastAsia="en-US"/>
              </w:rPr>
            </w:pPr>
            <w:r>
              <w:rPr>
                <w:sz w:val="19"/>
                <w:szCs w:val="19"/>
                <w:lang w:val="en-US" w:eastAsia="en-US"/>
              </w:rPr>
              <w:t>19.3鼓励在住宅小区、社会单位的楼</w:t>
            </w:r>
            <w:r>
              <w:rPr>
                <w:rFonts w:hint="eastAsia"/>
                <w:sz w:val="19"/>
                <w:szCs w:val="19"/>
                <w:lang w:val="en-US" w:eastAsia="zh-CN"/>
              </w:rPr>
              <w:t>宇</w:t>
            </w:r>
            <w:r>
              <w:rPr>
                <w:sz w:val="19"/>
                <w:szCs w:val="19"/>
                <w:lang w:val="en-US" w:eastAsia="en-US"/>
              </w:rPr>
              <w:t>电梯安装智能阻止系统，推广“射频信号传输+视频监控”等技术对蓄电池进楼实行动态监控，及时发现制止违规停放充电行为。</w:t>
            </w:r>
          </w:p>
        </w:tc>
        <w:tc>
          <w:tcPr>
            <w:tcW w:w="2045" w:type="dxa"/>
            <w:vMerge w:val="continue"/>
            <w:tcBorders>
              <w:top w:val="nil"/>
            </w:tcBorders>
            <w:vAlign w:val="center"/>
          </w:tcPr>
          <w:p w14:paraId="4E4FA6AA">
            <w:pPr>
              <w:keepNext w:val="0"/>
              <w:keepLines w:val="0"/>
              <w:pageBreakBefore w:val="0"/>
              <w:widowControl/>
              <w:kinsoku w:val="0"/>
              <w:wordWrap/>
              <w:overflowPunct/>
              <w:topLinePunct w:val="0"/>
              <w:autoSpaceDE w:val="0"/>
              <w:autoSpaceDN w:val="0"/>
              <w:bidi w:val="0"/>
              <w:adjustRightInd w:val="0"/>
              <w:snapToGrid w:val="0"/>
              <w:spacing w:line="480" w:lineRule="atLeast"/>
              <w:jc w:val="center"/>
              <w:textAlignment w:val="baseline"/>
              <w:rPr>
                <w:rFonts w:ascii="Arial"/>
                <w:sz w:val="21"/>
              </w:rPr>
            </w:pPr>
          </w:p>
        </w:tc>
        <w:tc>
          <w:tcPr>
            <w:tcW w:w="2150" w:type="dxa"/>
            <w:vMerge w:val="continue"/>
            <w:tcBorders>
              <w:top w:val="nil"/>
            </w:tcBorders>
            <w:vAlign w:val="center"/>
          </w:tcPr>
          <w:p w14:paraId="4032B07B">
            <w:pPr>
              <w:keepNext w:val="0"/>
              <w:keepLines w:val="0"/>
              <w:pageBreakBefore w:val="0"/>
              <w:widowControl/>
              <w:kinsoku w:val="0"/>
              <w:wordWrap/>
              <w:overflowPunct/>
              <w:topLinePunct w:val="0"/>
              <w:autoSpaceDE w:val="0"/>
              <w:autoSpaceDN w:val="0"/>
              <w:bidi w:val="0"/>
              <w:adjustRightInd w:val="0"/>
              <w:snapToGrid w:val="0"/>
              <w:spacing w:line="480" w:lineRule="atLeast"/>
              <w:jc w:val="center"/>
              <w:textAlignment w:val="baseline"/>
              <w:rPr>
                <w:rFonts w:ascii="Arial"/>
                <w:sz w:val="21"/>
              </w:rPr>
            </w:pPr>
          </w:p>
        </w:tc>
        <w:tc>
          <w:tcPr>
            <w:tcW w:w="2980" w:type="dxa"/>
            <w:vAlign w:val="center"/>
          </w:tcPr>
          <w:p w14:paraId="6D5905AB">
            <w:pPr>
              <w:pStyle w:val="6"/>
              <w:keepNext w:val="0"/>
              <w:keepLines w:val="0"/>
              <w:pageBreakBefore w:val="0"/>
              <w:widowControl/>
              <w:kinsoku w:val="0"/>
              <w:wordWrap/>
              <w:overflowPunct/>
              <w:topLinePunct w:val="0"/>
              <w:autoSpaceDE w:val="0"/>
              <w:autoSpaceDN w:val="0"/>
              <w:bidi w:val="0"/>
              <w:adjustRightInd w:val="0"/>
              <w:snapToGrid w:val="0"/>
              <w:spacing w:before="62" w:line="480" w:lineRule="atLeast"/>
              <w:jc w:val="center"/>
              <w:textAlignment w:val="baseline"/>
              <w:rPr>
                <w:sz w:val="19"/>
                <w:szCs w:val="19"/>
              </w:rPr>
            </w:pPr>
            <w:r>
              <w:rPr>
                <w:spacing w:val="-2"/>
                <w:sz w:val="19"/>
                <w:szCs w:val="19"/>
              </w:rPr>
              <w:t>长期坚持</w:t>
            </w:r>
          </w:p>
        </w:tc>
      </w:tr>
    </w:tbl>
    <w:tbl>
      <w:tblPr>
        <w:tblStyle w:val="7"/>
        <w:tblpPr w:leftFromText="180" w:rightFromText="180" w:vertAnchor="text" w:tblpX="5" w:tblpY="97"/>
        <w:tblOverlap w:val="never"/>
        <w:tblW w:w="14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5796"/>
        <w:gridCol w:w="2056"/>
        <w:gridCol w:w="2150"/>
        <w:gridCol w:w="2960"/>
      </w:tblGrid>
      <w:tr w14:paraId="7A7B9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184" w:type="dxa"/>
            <w:vMerge w:val="restart"/>
            <w:vAlign w:val="center"/>
          </w:tcPr>
          <w:p w14:paraId="0F5BDA09">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lang w:val="en-US" w:eastAsia="en-US"/>
              </w:rPr>
            </w:pPr>
            <w:r>
              <w:rPr>
                <w:spacing w:val="3"/>
                <w:sz w:val="19"/>
                <w:szCs w:val="19"/>
              </w:rPr>
              <w:t>(五</w:t>
            </w:r>
            <w:r>
              <w:rPr>
                <w:sz w:val="19"/>
                <w:szCs w:val="19"/>
                <w:lang w:val="en-US" w:eastAsia="en-US"/>
              </w:rPr>
              <w:t>)着力</w:t>
            </w:r>
          </w:p>
          <w:p w14:paraId="6C586D3C">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lang w:val="en-US" w:eastAsia="en-US"/>
              </w:rPr>
            </w:pPr>
            <w:r>
              <w:rPr>
                <w:sz w:val="19"/>
                <w:szCs w:val="19"/>
                <w:lang w:val="en-US" w:eastAsia="en-US"/>
              </w:rPr>
              <w:t>解决老旧蓄</w:t>
            </w:r>
          </w:p>
          <w:p w14:paraId="6E7E9BA5">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lang w:val="en-US" w:eastAsia="en-US"/>
              </w:rPr>
            </w:pPr>
            <w:r>
              <w:rPr>
                <w:sz w:val="19"/>
                <w:szCs w:val="19"/>
                <w:lang w:val="en-US" w:eastAsia="en-US"/>
              </w:rPr>
              <w:t>电池报废</w:t>
            </w:r>
          </w:p>
          <w:p w14:paraId="61D4847B">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lang w:val="en-US" w:eastAsia="en-US"/>
              </w:rPr>
              <w:t>回收问题</w:t>
            </w:r>
          </w:p>
        </w:tc>
        <w:tc>
          <w:tcPr>
            <w:tcW w:w="5796" w:type="dxa"/>
            <w:vAlign w:val="top"/>
          </w:tcPr>
          <w:p w14:paraId="576563D2">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rPr>
              <w:t>20.1出台以旧换新政策，将电动自行车及其蓄电池纳入以旧换新补贴范围。</w:t>
            </w:r>
          </w:p>
        </w:tc>
        <w:tc>
          <w:tcPr>
            <w:tcW w:w="2056" w:type="dxa"/>
            <w:vMerge w:val="restart"/>
            <w:tcBorders>
              <w:bottom w:val="nil"/>
            </w:tcBorders>
            <w:vAlign w:val="center"/>
          </w:tcPr>
          <w:p w14:paraId="02E4777B">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spacing w:val="9"/>
                <w:sz w:val="19"/>
                <w:szCs w:val="19"/>
              </w:rPr>
            </w:pPr>
            <w:r>
              <w:rPr>
                <w:rFonts w:hint="eastAsia"/>
                <w:spacing w:val="9"/>
                <w:sz w:val="19"/>
                <w:szCs w:val="19"/>
                <w:lang w:eastAsia="zh-CN"/>
              </w:rPr>
              <w:t>县</w:t>
            </w:r>
            <w:r>
              <w:rPr>
                <w:spacing w:val="9"/>
                <w:sz w:val="19"/>
                <w:szCs w:val="19"/>
              </w:rPr>
              <w:t>工信局</w:t>
            </w:r>
          </w:p>
        </w:tc>
        <w:tc>
          <w:tcPr>
            <w:tcW w:w="2150" w:type="dxa"/>
            <w:vMerge w:val="restart"/>
            <w:tcBorders>
              <w:bottom w:val="nil"/>
            </w:tcBorders>
            <w:vAlign w:val="center"/>
          </w:tcPr>
          <w:p w14:paraId="55D3270C">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rFonts w:hint="eastAsia"/>
                <w:spacing w:val="9"/>
                <w:sz w:val="19"/>
                <w:szCs w:val="19"/>
                <w:lang w:eastAsia="zh-CN"/>
              </w:rPr>
            </w:pPr>
            <w:r>
              <w:rPr>
                <w:rFonts w:hint="eastAsia"/>
                <w:spacing w:val="9"/>
                <w:sz w:val="19"/>
                <w:szCs w:val="19"/>
                <w:lang w:eastAsia="zh-CN"/>
              </w:rPr>
              <w:t>县</w:t>
            </w:r>
            <w:r>
              <w:rPr>
                <w:spacing w:val="9"/>
                <w:sz w:val="19"/>
                <w:szCs w:val="19"/>
              </w:rPr>
              <w:t>财政局</w:t>
            </w:r>
            <w:r>
              <w:rPr>
                <w:rFonts w:hint="eastAsia"/>
                <w:spacing w:val="9"/>
                <w:sz w:val="19"/>
                <w:szCs w:val="19"/>
                <w:lang w:eastAsia="zh-CN"/>
              </w:rPr>
              <w:t>、</w:t>
            </w:r>
            <w:r>
              <w:rPr>
                <w:spacing w:val="9"/>
                <w:sz w:val="19"/>
                <w:szCs w:val="19"/>
              </w:rPr>
              <w:t>各</w:t>
            </w:r>
            <w:r>
              <w:rPr>
                <w:rFonts w:hint="eastAsia"/>
                <w:spacing w:val="9"/>
                <w:sz w:val="19"/>
                <w:szCs w:val="19"/>
                <w:lang w:eastAsia="zh-CN"/>
              </w:rPr>
              <w:t>镇</w:t>
            </w:r>
            <w:r>
              <w:rPr>
                <w:spacing w:val="9"/>
                <w:sz w:val="19"/>
                <w:szCs w:val="19"/>
              </w:rPr>
              <w:t>人民政府</w:t>
            </w:r>
          </w:p>
        </w:tc>
        <w:tc>
          <w:tcPr>
            <w:tcW w:w="2960" w:type="dxa"/>
            <w:vAlign w:val="center"/>
          </w:tcPr>
          <w:p w14:paraId="6DFF8EF8">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jc w:val="center"/>
              <w:textAlignment w:val="baseline"/>
              <w:rPr>
                <w:spacing w:val="9"/>
                <w:sz w:val="19"/>
                <w:szCs w:val="19"/>
              </w:rPr>
            </w:pPr>
            <w:r>
              <w:rPr>
                <w:spacing w:val="9"/>
                <w:sz w:val="19"/>
                <w:szCs w:val="19"/>
              </w:rPr>
              <w:t>2024年11月底前</w:t>
            </w:r>
          </w:p>
        </w:tc>
      </w:tr>
      <w:tr w14:paraId="01EC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84" w:type="dxa"/>
            <w:vMerge w:val="continue"/>
            <w:vAlign w:val="top"/>
          </w:tcPr>
          <w:p w14:paraId="7099AB1D">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Arial"/>
                <w:sz w:val="21"/>
              </w:rPr>
            </w:pPr>
          </w:p>
        </w:tc>
        <w:tc>
          <w:tcPr>
            <w:tcW w:w="5796" w:type="dxa"/>
            <w:vAlign w:val="top"/>
          </w:tcPr>
          <w:p w14:paraId="00323DA0">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rPr>
              <w:t>20.2鼓励有条件的</w:t>
            </w:r>
            <w:r>
              <w:rPr>
                <w:rFonts w:hint="eastAsia"/>
                <w:sz w:val="19"/>
                <w:szCs w:val="19"/>
                <w:lang w:eastAsia="zh-CN"/>
              </w:rPr>
              <w:t>（乡）镇</w:t>
            </w:r>
            <w:r>
              <w:rPr>
                <w:sz w:val="19"/>
                <w:szCs w:val="19"/>
              </w:rPr>
              <w:t>通过财政补贴、企业让利、金融支持等手段推动电动自行车以旧换新。支持电动自行车销售企业与生产企业、回收企业联合开展以旧换新促销活动。</w:t>
            </w:r>
          </w:p>
        </w:tc>
        <w:tc>
          <w:tcPr>
            <w:tcW w:w="2056" w:type="dxa"/>
            <w:vMerge w:val="continue"/>
            <w:tcBorders>
              <w:top w:val="nil"/>
            </w:tcBorders>
            <w:vAlign w:val="center"/>
          </w:tcPr>
          <w:p w14:paraId="22443D84">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宋体" w:hAnsi="宋体" w:eastAsia="宋体" w:cs="宋体"/>
                <w:snapToGrid w:val="0"/>
                <w:color w:val="000000"/>
                <w:spacing w:val="9"/>
                <w:kern w:val="0"/>
                <w:sz w:val="19"/>
                <w:szCs w:val="19"/>
                <w:lang w:val="en-US" w:eastAsia="en-US" w:bidi="ar-SA"/>
              </w:rPr>
            </w:pPr>
          </w:p>
        </w:tc>
        <w:tc>
          <w:tcPr>
            <w:tcW w:w="2150" w:type="dxa"/>
            <w:vMerge w:val="continue"/>
            <w:tcBorders>
              <w:top w:val="nil"/>
            </w:tcBorders>
            <w:vAlign w:val="center"/>
          </w:tcPr>
          <w:p w14:paraId="6056FA19">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宋体" w:hAnsi="宋体" w:eastAsia="宋体" w:cs="宋体"/>
                <w:snapToGrid w:val="0"/>
                <w:color w:val="000000"/>
                <w:spacing w:val="9"/>
                <w:kern w:val="0"/>
                <w:sz w:val="19"/>
                <w:szCs w:val="19"/>
                <w:lang w:val="en-US" w:eastAsia="en-US" w:bidi="ar-SA"/>
              </w:rPr>
            </w:pPr>
          </w:p>
        </w:tc>
        <w:tc>
          <w:tcPr>
            <w:tcW w:w="2960" w:type="dxa"/>
            <w:vAlign w:val="center"/>
          </w:tcPr>
          <w:p w14:paraId="50C787A7">
            <w:pPr>
              <w:pStyle w:val="6"/>
              <w:keepNext w:val="0"/>
              <w:keepLines w:val="0"/>
              <w:pageBreakBefore w:val="0"/>
              <w:widowControl/>
              <w:kinsoku w:val="0"/>
              <w:wordWrap/>
              <w:overflowPunct/>
              <w:topLinePunct w:val="0"/>
              <w:autoSpaceDE w:val="0"/>
              <w:autoSpaceDN w:val="0"/>
              <w:bidi w:val="0"/>
              <w:adjustRightInd w:val="0"/>
              <w:snapToGrid w:val="0"/>
              <w:spacing w:before="62" w:line="560" w:lineRule="atLeast"/>
              <w:jc w:val="center"/>
              <w:textAlignment w:val="baseline"/>
              <w:rPr>
                <w:rFonts w:ascii="宋体" w:hAnsi="宋体" w:eastAsia="宋体" w:cs="宋体"/>
                <w:snapToGrid w:val="0"/>
                <w:color w:val="000000"/>
                <w:spacing w:val="9"/>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持续推进</w:t>
            </w:r>
          </w:p>
        </w:tc>
      </w:tr>
      <w:tr w14:paraId="151EB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184" w:type="dxa"/>
            <w:vMerge w:val="continue"/>
            <w:vAlign w:val="top"/>
          </w:tcPr>
          <w:p w14:paraId="40BB3CC4">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Arial"/>
                <w:sz w:val="21"/>
              </w:rPr>
            </w:pPr>
          </w:p>
        </w:tc>
        <w:tc>
          <w:tcPr>
            <w:tcW w:w="5796" w:type="dxa"/>
            <w:vAlign w:val="top"/>
          </w:tcPr>
          <w:p w14:paraId="14ED0E3C">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rPr>
              <w:t>21.1建立老旧蓄电池报废淘汰机制；优化服务机构站点布局，提</w:t>
            </w:r>
          </w:p>
          <w:p w14:paraId="5D8DAED3">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rPr>
              <w:t>供便捷快速评估技术服务，鼓励用户主动送检，及时淘汰更换；</w:t>
            </w:r>
          </w:p>
          <w:p w14:paraId="0D045AAC">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sz w:val="19"/>
                <w:szCs w:val="19"/>
              </w:rPr>
            </w:pPr>
            <w:r>
              <w:rPr>
                <w:sz w:val="19"/>
                <w:szCs w:val="19"/>
              </w:rPr>
              <w:t>对超过生产日期5年的蓄电池开展全面强制安全性评估，对达到报</w:t>
            </w:r>
          </w:p>
          <w:p w14:paraId="14DAC2F5">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textAlignment w:val="baseline"/>
              <w:rPr>
                <w:rFonts w:hint="eastAsia" w:eastAsia="宋体"/>
                <w:sz w:val="19"/>
                <w:szCs w:val="19"/>
                <w:lang w:eastAsia="zh-CN"/>
              </w:rPr>
            </w:pPr>
            <w:r>
              <w:rPr>
                <w:sz w:val="19"/>
                <w:szCs w:val="19"/>
              </w:rPr>
              <w:t>废条件的一律强制报废</w:t>
            </w:r>
            <w:r>
              <w:rPr>
                <w:rFonts w:hint="eastAsia"/>
                <w:sz w:val="19"/>
                <w:szCs w:val="19"/>
                <w:lang w:eastAsia="zh-CN"/>
              </w:rPr>
              <w:t>。</w:t>
            </w:r>
          </w:p>
        </w:tc>
        <w:tc>
          <w:tcPr>
            <w:tcW w:w="2056" w:type="dxa"/>
            <w:vAlign w:val="top"/>
          </w:tcPr>
          <w:p w14:paraId="070337C1">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宋体" w:hAnsi="宋体" w:eastAsia="宋体" w:cs="宋体"/>
                <w:snapToGrid w:val="0"/>
                <w:color w:val="000000"/>
                <w:spacing w:val="9"/>
                <w:kern w:val="0"/>
                <w:sz w:val="19"/>
                <w:szCs w:val="19"/>
                <w:lang w:val="en-US" w:eastAsia="en-US" w:bidi="ar-SA"/>
              </w:rPr>
            </w:pPr>
          </w:p>
        </w:tc>
        <w:tc>
          <w:tcPr>
            <w:tcW w:w="2150" w:type="dxa"/>
            <w:vAlign w:val="top"/>
          </w:tcPr>
          <w:p w14:paraId="508471E0">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宋体" w:hAnsi="宋体" w:eastAsia="宋体" w:cs="宋体"/>
                <w:snapToGrid w:val="0"/>
                <w:color w:val="000000"/>
                <w:spacing w:val="9"/>
                <w:kern w:val="0"/>
                <w:sz w:val="19"/>
                <w:szCs w:val="19"/>
                <w:lang w:val="en-US" w:eastAsia="en-US" w:bidi="ar-SA"/>
              </w:rPr>
            </w:pPr>
          </w:p>
        </w:tc>
        <w:tc>
          <w:tcPr>
            <w:tcW w:w="2960" w:type="dxa"/>
            <w:vAlign w:val="top"/>
          </w:tcPr>
          <w:p w14:paraId="71FB998D">
            <w:pPr>
              <w:pStyle w:val="6"/>
              <w:keepNext w:val="0"/>
              <w:keepLines w:val="0"/>
              <w:pageBreakBefore w:val="0"/>
              <w:widowControl/>
              <w:kinsoku w:val="0"/>
              <w:wordWrap/>
              <w:overflowPunct/>
              <w:topLinePunct w:val="0"/>
              <w:autoSpaceDE w:val="0"/>
              <w:autoSpaceDN w:val="0"/>
              <w:bidi w:val="0"/>
              <w:adjustRightInd w:val="0"/>
              <w:snapToGrid w:val="0"/>
              <w:spacing w:before="62" w:line="560" w:lineRule="atLeast"/>
              <w:jc w:val="center"/>
              <w:textAlignment w:val="baseline"/>
              <w:rPr>
                <w:rFonts w:ascii="宋体" w:hAnsi="宋体" w:eastAsia="宋体" w:cs="宋体"/>
                <w:snapToGrid w:val="0"/>
                <w:color w:val="000000"/>
                <w:spacing w:val="9"/>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2025年5月底前</w:t>
            </w:r>
          </w:p>
        </w:tc>
      </w:tr>
      <w:tr w14:paraId="2C627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184" w:type="dxa"/>
            <w:vMerge w:val="continue"/>
            <w:vAlign w:val="top"/>
          </w:tcPr>
          <w:p w14:paraId="27D5D3EE">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Arial"/>
                <w:sz w:val="21"/>
              </w:rPr>
            </w:pPr>
          </w:p>
        </w:tc>
        <w:tc>
          <w:tcPr>
            <w:tcW w:w="5796" w:type="dxa"/>
            <w:vAlign w:val="top"/>
          </w:tcPr>
          <w:p w14:paraId="6BFCAF93">
            <w:pPr>
              <w:pStyle w:val="6"/>
              <w:keepNext w:val="0"/>
              <w:keepLines w:val="0"/>
              <w:pageBreakBefore w:val="0"/>
              <w:widowControl/>
              <w:kinsoku w:val="0"/>
              <w:wordWrap/>
              <w:overflowPunct/>
              <w:topLinePunct w:val="0"/>
              <w:autoSpaceDE w:val="0"/>
              <w:autoSpaceDN w:val="0"/>
              <w:bidi w:val="0"/>
              <w:adjustRightInd w:val="0"/>
              <w:snapToGrid w:val="0"/>
              <w:spacing w:before="62" w:line="160" w:lineRule="atLeast"/>
              <w:ind w:right="174" w:rightChars="0"/>
              <w:textAlignment w:val="baseline"/>
              <w:rPr>
                <w:sz w:val="19"/>
                <w:szCs w:val="19"/>
              </w:rPr>
            </w:pPr>
            <w:r>
              <w:rPr>
                <w:sz w:val="19"/>
                <w:szCs w:val="19"/>
              </w:rPr>
              <w:t>21.2健全再生资源回收网点，鼓励支持再生资源回收企业加强与电动自行车销售单位合作，回收不含铅酸蓄电池的报废电动自行车。科学规范开展废蓄电池回收处理，鼓励</w:t>
            </w:r>
            <w:r>
              <w:rPr>
                <w:rFonts w:hint="eastAsia"/>
                <w:sz w:val="19"/>
                <w:szCs w:val="19"/>
                <w:lang w:eastAsia="zh-CN"/>
              </w:rPr>
              <w:t>各地</w:t>
            </w:r>
            <w:r>
              <w:rPr>
                <w:sz w:val="19"/>
                <w:szCs w:val="19"/>
              </w:rPr>
              <w:t>对回收和处置拆解企业予以政策支持，促进可再生资源循环利用。推动生产企业以自建、委托等方式提供老旧蓄电池更换、回收服务。依托中央</w:t>
            </w:r>
            <w:r>
              <w:rPr>
                <w:rFonts w:hint="eastAsia"/>
                <w:sz w:val="19"/>
                <w:szCs w:val="19"/>
                <w:lang w:eastAsia="zh-CN"/>
              </w:rPr>
              <w:t>、</w:t>
            </w:r>
            <w:r>
              <w:rPr>
                <w:sz w:val="19"/>
                <w:szCs w:val="19"/>
              </w:rPr>
              <w:t>省属企业</w:t>
            </w:r>
            <w:r>
              <w:rPr>
                <w:rFonts w:hint="eastAsia"/>
                <w:sz w:val="19"/>
                <w:szCs w:val="19"/>
                <w:lang w:eastAsia="zh-CN"/>
              </w:rPr>
              <w:t>及市属</w:t>
            </w:r>
            <w:r>
              <w:rPr>
                <w:sz w:val="19"/>
                <w:szCs w:val="19"/>
              </w:rPr>
              <w:t>的引领带动作用，研究建立专业化平台，促进老旧蓄电池规范回收处理。</w:t>
            </w:r>
          </w:p>
        </w:tc>
        <w:tc>
          <w:tcPr>
            <w:tcW w:w="2056" w:type="dxa"/>
            <w:vAlign w:val="center"/>
          </w:tcPr>
          <w:p w14:paraId="0606DD8D">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right="142" w:rightChars="0"/>
              <w:jc w:val="center"/>
              <w:textAlignment w:val="baseline"/>
              <w:rPr>
                <w:rFonts w:ascii="宋体" w:hAnsi="宋体" w:eastAsia="宋体" w:cs="宋体"/>
                <w:snapToGrid w:val="0"/>
                <w:color w:val="000000"/>
                <w:spacing w:val="9"/>
                <w:kern w:val="0"/>
                <w:sz w:val="19"/>
                <w:szCs w:val="19"/>
                <w:lang w:val="en-US" w:eastAsia="en-US" w:bidi="ar-SA"/>
              </w:rPr>
            </w:pPr>
            <w:r>
              <w:rPr>
                <w:rFonts w:hint="eastAsia" w:ascii="宋体" w:hAnsi="宋体" w:eastAsia="宋体" w:cs="宋体"/>
                <w:snapToGrid w:val="0"/>
                <w:color w:val="000000"/>
                <w:spacing w:val="1"/>
                <w:kern w:val="0"/>
                <w:sz w:val="19"/>
                <w:szCs w:val="19"/>
                <w:lang w:val="en-US" w:eastAsia="zh-CN" w:bidi="ar-SA"/>
              </w:rPr>
              <w:t>县工信局、</w:t>
            </w:r>
            <w:r>
              <w:rPr>
                <w:rFonts w:hint="eastAsia" w:cs="宋体"/>
                <w:snapToGrid w:val="0"/>
                <w:color w:val="000000"/>
                <w:spacing w:val="1"/>
                <w:kern w:val="0"/>
                <w:sz w:val="19"/>
                <w:szCs w:val="19"/>
                <w:lang w:val="en-US" w:eastAsia="zh-CN" w:bidi="ar-SA"/>
              </w:rPr>
              <w:t>市生态环境局方山分局</w:t>
            </w:r>
          </w:p>
        </w:tc>
        <w:tc>
          <w:tcPr>
            <w:tcW w:w="2150" w:type="dxa"/>
            <w:vAlign w:val="center"/>
          </w:tcPr>
          <w:p w14:paraId="263A48CE">
            <w:pPr>
              <w:jc w:val="center"/>
              <w:rPr>
                <w:rFonts w:hint="eastAsia" w:ascii="宋体" w:hAnsi="宋体" w:eastAsia="宋体" w:cs="宋体"/>
                <w:snapToGrid w:val="0"/>
                <w:color w:val="000000"/>
                <w:spacing w:val="1"/>
                <w:kern w:val="0"/>
                <w:sz w:val="19"/>
                <w:szCs w:val="19"/>
                <w:lang w:val="en-US" w:eastAsia="zh-CN" w:bidi="ar-SA"/>
              </w:rPr>
            </w:pPr>
            <w:r>
              <w:rPr>
                <w:rFonts w:hint="eastAsia" w:ascii="宋体" w:hAnsi="宋体" w:eastAsia="宋体" w:cs="宋体"/>
                <w:snapToGrid w:val="0"/>
                <w:color w:val="000000"/>
                <w:spacing w:val="1"/>
                <w:kern w:val="0"/>
                <w:sz w:val="19"/>
                <w:szCs w:val="19"/>
                <w:lang w:val="en-US" w:eastAsia="zh-CN" w:bidi="ar-SA"/>
              </w:rPr>
              <w:t>县市场监督管理局、县发展改革局、各镇人民政府</w:t>
            </w:r>
          </w:p>
          <w:p w14:paraId="72ACCA83">
            <w:pPr>
              <w:pStyle w:val="6"/>
              <w:keepNext w:val="0"/>
              <w:keepLines w:val="0"/>
              <w:pageBreakBefore w:val="0"/>
              <w:widowControl/>
              <w:kinsoku w:val="0"/>
              <w:wordWrap/>
              <w:overflowPunct/>
              <w:topLinePunct w:val="0"/>
              <w:autoSpaceDE w:val="0"/>
              <w:autoSpaceDN w:val="0"/>
              <w:bidi w:val="0"/>
              <w:adjustRightInd w:val="0"/>
              <w:snapToGrid w:val="0"/>
              <w:spacing w:before="129" w:line="432" w:lineRule="auto"/>
              <w:ind w:left="434" w:leftChars="0" w:right="142" w:rightChars="0" w:hanging="289" w:firstLineChars="0"/>
              <w:jc w:val="center"/>
              <w:textAlignment w:val="baseline"/>
              <w:rPr>
                <w:rFonts w:ascii="宋体" w:hAnsi="宋体" w:eastAsia="宋体" w:cs="宋体"/>
                <w:snapToGrid w:val="0"/>
                <w:color w:val="000000"/>
                <w:spacing w:val="9"/>
                <w:kern w:val="0"/>
                <w:sz w:val="19"/>
                <w:szCs w:val="19"/>
                <w:lang w:val="en-US" w:eastAsia="en-US" w:bidi="ar-SA"/>
              </w:rPr>
            </w:pPr>
          </w:p>
        </w:tc>
        <w:tc>
          <w:tcPr>
            <w:tcW w:w="2960" w:type="dxa"/>
            <w:vAlign w:val="center"/>
          </w:tcPr>
          <w:p w14:paraId="4CA5EDF0">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宋体" w:hAnsi="宋体" w:eastAsia="宋体" w:cs="宋体"/>
                <w:snapToGrid w:val="0"/>
                <w:color w:val="000000"/>
                <w:spacing w:val="9"/>
                <w:kern w:val="0"/>
                <w:sz w:val="19"/>
                <w:szCs w:val="19"/>
                <w:lang w:val="en-US" w:eastAsia="en-US" w:bidi="ar-SA"/>
              </w:rPr>
            </w:pPr>
            <w:r>
              <w:rPr>
                <w:spacing w:val="-2"/>
                <w:sz w:val="19"/>
                <w:szCs w:val="19"/>
              </w:rPr>
              <w:t>长期坚持</w:t>
            </w:r>
          </w:p>
        </w:tc>
      </w:tr>
    </w:tbl>
    <w:tbl>
      <w:tblPr>
        <w:tblStyle w:val="7"/>
        <w:tblW w:w="141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5786"/>
        <w:gridCol w:w="2055"/>
        <w:gridCol w:w="2150"/>
        <w:gridCol w:w="2980"/>
      </w:tblGrid>
      <w:tr w14:paraId="624D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1184" w:type="dxa"/>
            <w:vMerge w:val="restart"/>
            <w:tcBorders>
              <w:bottom w:val="nil"/>
            </w:tcBorders>
            <w:vAlign w:val="center"/>
          </w:tcPr>
          <w:p w14:paraId="1EB5F1BB">
            <w:pPr>
              <w:spacing w:line="453" w:lineRule="auto"/>
              <w:jc w:val="center"/>
              <w:rPr>
                <w:rFonts w:ascii="Arial"/>
                <w:sz w:val="21"/>
              </w:rPr>
            </w:pPr>
          </w:p>
          <w:p w14:paraId="70328853">
            <w:pPr>
              <w:pStyle w:val="6"/>
              <w:spacing w:before="62" w:line="236" w:lineRule="auto"/>
              <w:ind w:right="108"/>
              <w:jc w:val="center"/>
              <w:rPr>
                <w:sz w:val="19"/>
                <w:szCs w:val="19"/>
              </w:rPr>
            </w:pPr>
            <w:r>
              <w:rPr>
                <w:spacing w:val="3"/>
                <w:sz w:val="19"/>
                <w:szCs w:val="19"/>
              </w:rPr>
              <w:t>(六)着力</w:t>
            </w:r>
            <w:r>
              <w:rPr>
                <w:spacing w:val="16"/>
                <w:sz w:val="19"/>
                <w:szCs w:val="19"/>
              </w:rPr>
              <w:t>解决溯源追</w:t>
            </w:r>
            <w:r>
              <w:rPr>
                <w:spacing w:val="20"/>
                <w:sz w:val="19"/>
                <w:szCs w:val="19"/>
              </w:rPr>
              <w:t>责力度不够</w:t>
            </w:r>
            <w:r>
              <w:rPr>
                <w:spacing w:val="4"/>
                <w:sz w:val="19"/>
                <w:szCs w:val="19"/>
              </w:rPr>
              <w:t>问题</w:t>
            </w:r>
          </w:p>
        </w:tc>
        <w:tc>
          <w:tcPr>
            <w:tcW w:w="5786" w:type="dxa"/>
            <w:vAlign w:val="top"/>
          </w:tcPr>
          <w:p w14:paraId="4DBF1B67">
            <w:pPr>
              <w:pStyle w:val="6"/>
              <w:spacing w:before="290" w:line="232" w:lineRule="auto"/>
              <w:ind w:right="218"/>
              <w:rPr>
                <w:sz w:val="19"/>
                <w:szCs w:val="19"/>
              </w:rPr>
            </w:pPr>
            <w:r>
              <w:rPr>
                <w:sz w:val="19"/>
                <w:szCs w:val="19"/>
              </w:rPr>
              <w:t>22.鼓励推广应用智能传感器、电子标签(二</w:t>
            </w:r>
            <w:r>
              <w:rPr>
                <w:spacing w:val="-1"/>
                <w:sz w:val="19"/>
                <w:szCs w:val="19"/>
              </w:rPr>
              <w:t>维码)、电子芯片</w:t>
            </w:r>
            <w:r>
              <w:rPr>
                <w:sz w:val="19"/>
                <w:szCs w:val="19"/>
              </w:rPr>
              <w:t>(RFID)等技术，充分运用“一车一池一充一码”识别代码和电动自行车登记信息管理系统，提高事故后溯源调查能力。建立电动自行车亡人事故责任倒查机制，发现违法违规线索及时移交并配合公安、消防等部门开展调查，造成重大影响的依法追责。整治期间发生电动自行车亡人火灾事故的一律提级</w:t>
            </w:r>
            <w:r>
              <w:rPr>
                <w:spacing w:val="-1"/>
                <w:sz w:val="19"/>
                <w:szCs w:val="19"/>
              </w:rPr>
              <w:t>调查。</w:t>
            </w:r>
          </w:p>
        </w:tc>
        <w:tc>
          <w:tcPr>
            <w:tcW w:w="2055" w:type="dxa"/>
            <w:vAlign w:val="top"/>
          </w:tcPr>
          <w:p w14:paraId="60E5EAEF">
            <w:pPr>
              <w:spacing w:line="277" w:lineRule="auto"/>
              <w:jc w:val="left"/>
              <w:rPr>
                <w:rFonts w:ascii="Arial"/>
                <w:sz w:val="21"/>
              </w:rPr>
            </w:pPr>
          </w:p>
          <w:p w14:paraId="79352BA5">
            <w:pPr>
              <w:spacing w:line="277" w:lineRule="auto"/>
              <w:jc w:val="left"/>
              <w:rPr>
                <w:rFonts w:ascii="Arial"/>
                <w:sz w:val="21"/>
              </w:rPr>
            </w:pPr>
          </w:p>
          <w:p w14:paraId="05C9668E">
            <w:pPr>
              <w:pStyle w:val="6"/>
              <w:spacing w:before="62" w:line="219" w:lineRule="auto"/>
              <w:ind w:left="145"/>
              <w:jc w:val="left"/>
              <w:rPr>
                <w:rFonts w:hint="eastAsia" w:eastAsia="宋体"/>
                <w:sz w:val="19"/>
                <w:szCs w:val="19"/>
                <w:lang w:eastAsia="zh-CN"/>
              </w:rPr>
            </w:pPr>
            <w:r>
              <w:rPr>
                <w:rFonts w:hint="eastAsia"/>
                <w:spacing w:val="1"/>
                <w:sz w:val="19"/>
                <w:szCs w:val="19"/>
                <w:lang w:eastAsia="zh-CN"/>
              </w:rPr>
              <w:t>县</w:t>
            </w:r>
            <w:r>
              <w:rPr>
                <w:spacing w:val="1"/>
                <w:sz w:val="19"/>
                <w:szCs w:val="19"/>
              </w:rPr>
              <w:t>应急管理局、</w:t>
            </w:r>
            <w:r>
              <w:rPr>
                <w:rFonts w:hint="eastAsia"/>
                <w:spacing w:val="1"/>
                <w:sz w:val="19"/>
                <w:szCs w:val="19"/>
                <w:lang w:eastAsia="zh-CN"/>
              </w:rPr>
              <w:t>县</w:t>
            </w:r>
          </w:p>
          <w:p w14:paraId="0A9309CD">
            <w:pPr>
              <w:pStyle w:val="6"/>
              <w:spacing w:before="34" w:line="219" w:lineRule="auto"/>
              <w:ind w:left="145"/>
              <w:jc w:val="left"/>
              <w:rPr>
                <w:rFonts w:hint="eastAsia" w:eastAsia="宋体"/>
                <w:sz w:val="19"/>
                <w:szCs w:val="19"/>
                <w:lang w:eastAsia="zh-CN"/>
              </w:rPr>
            </w:pPr>
            <w:r>
              <w:rPr>
                <w:spacing w:val="1"/>
                <w:sz w:val="19"/>
                <w:szCs w:val="19"/>
              </w:rPr>
              <w:t>消防救援</w:t>
            </w:r>
            <w:r>
              <w:rPr>
                <w:rFonts w:hint="eastAsia"/>
                <w:spacing w:val="1"/>
                <w:sz w:val="19"/>
                <w:szCs w:val="19"/>
                <w:lang w:eastAsia="zh-CN"/>
              </w:rPr>
              <w:t>大</w:t>
            </w:r>
            <w:r>
              <w:rPr>
                <w:spacing w:val="1"/>
                <w:sz w:val="19"/>
                <w:szCs w:val="19"/>
              </w:rPr>
              <w:t>队、</w:t>
            </w:r>
            <w:r>
              <w:rPr>
                <w:rFonts w:hint="eastAsia"/>
                <w:spacing w:val="1"/>
                <w:sz w:val="19"/>
                <w:szCs w:val="19"/>
                <w:lang w:eastAsia="zh-CN"/>
              </w:rPr>
              <w:t>县</w:t>
            </w:r>
          </w:p>
          <w:p w14:paraId="7E5A6362">
            <w:pPr>
              <w:pStyle w:val="6"/>
              <w:spacing w:before="35" w:line="221" w:lineRule="auto"/>
              <w:ind w:left="624"/>
              <w:jc w:val="left"/>
              <w:rPr>
                <w:sz w:val="19"/>
                <w:szCs w:val="19"/>
              </w:rPr>
            </w:pPr>
            <w:r>
              <w:rPr>
                <w:spacing w:val="5"/>
                <w:sz w:val="19"/>
                <w:szCs w:val="19"/>
              </w:rPr>
              <w:t>公安局</w:t>
            </w:r>
          </w:p>
        </w:tc>
        <w:tc>
          <w:tcPr>
            <w:tcW w:w="2150" w:type="dxa"/>
            <w:vAlign w:val="center"/>
          </w:tcPr>
          <w:p w14:paraId="03B9A6D0">
            <w:pPr>
              <w:pStyle w:val="6"/>
              <w:spacing w:before="61" w:line="226" w:lineRule="auto"/>
              <w:jc w:val="both"/>
              <w:rPr>
                <w:rFonts w:hint="eastAsia" w:eastAsia="宋体"/>
                <w:sz w:val="19"/>
                <w:szCs w:val="19"/>
                <w:lang w:eastAsia="zh-CN"/>
              </w:rPr>
            </w:pPr>
            <w:r>
              <w:rPr>
                <w:rFonts w:hint="eastAsia"/>
                <w:spacing w:val="7"/>
                <w:sz w:val="19"/>
                <w:szCs w:val="19"/>
                <w:lang w:eastAsia="zh-CN"/>
              </w:rPr>
              <w:t>县</w:t>
            </w:r>
            <w:r>
              <w:rPr>
                <w:spacing w:val="7"/>
                <w:sz w:val="19"/>
                <w:szCs w:val="19"/>
              </w:rPr>
              <w:t>市场监督管理局、</w:t>
            </w:r>
            <w:r>
              <w:rPr>
                <w:rFonts w:hint="eastAsia"/>
                <w:spacing w:val="-1"/>
                <w:sz w:val="19"/>
                <w:szCs w:val="19"/>
                <w:lang w:eastAsia="zh-CN"/>
              </w:rPr>
              <w:t>县</w:t>
            </w:r>
            <w:r>
              <w:rPr>
                <w:spacing w:val="-1"/>
                <w:sz w:val="19"/>
                <w:szCs w:val="19"/>
              </w:rPr>
              <w:t>工信局</w:t>
            </w:r>
            <w:r>
              <w:rPr>
                <w:rFonts w:hint="eastAsia"/>
                <w:spacing w:val="-1"/>
                <w:sz w:val="19"/>
                <w:szCs w:val="19"/>
                <w:lang w:eastAsia="zh-CN"/>
              </w:rPr>
              <w:t>、</w:t>
            </w:r>
            <w:r>
              <w:rPr>
                <w:rFonts w:ascii="宋体" w:hAnsi="宋体" w:eastAsia="宋体" w:cs="宋体"/>
                <w:sz w:val="19"/>
                <w:szCs w:val="19"/>
              </w:rPr>
              <w:t>各</w:t>
            </w:r>
            <w:r>
              <w:rPr>
                <w:rFonts w:hint="eastAsia" w:ascii="宋体" w:hAnsi="宋体" w:eastAsia="宋体" w:cs="宋体"/>
                <w:sz w:val="19"/>
                <w:szCs w:val="19"/>
                <w:lang w:eastAsia="zh-CN"/>
              </w:rPr>
              <w:t>镇</w:t>
            </w:r>
            <w:r>
              <w:rPr>
                <w:rFonts w:ascii="宋体" w:hAnsi="宋体" w:eastAsia="宋体" w:cs="宋体"/>
                <w:sz w:val="19"/>
                <w:szCs w:val="19"/>
              </w:rPr>
              <w:t>人民政府</w:t>
            </w:r>
          </w:p>
        </w:tc>
        <w:tc>
          <w:tcPr>
            <w:tcW w:w="2980" w:type="dxa"/>
            <w:vAlign w:val="center"/>
          </w:tcPr>
          <w:p w14:paraId="4B24A88E">
            <w:pPr>
              <w:pStyle w:val="3"/>
              <w:keepNext w:val="0"/>
              <w:keepLines w:val="0"/>
              <w:widowControl/>
              <w:suppressLineNumbers w:val="0"/>
              <w:kinsoku w:val="0"/>
              <w:autoSpaceDE w:val="0"/>
              <w:autoSpaceDN w:val="0"/>
              <w:adjustRightInd w:val="0"/>
              <w:snapToGrid w:val="0"/>
              <w:spacing w:before="61" w:beforeAutospacing="0" w:after="0" w:afterAutospacing="0"/>
              <w:ind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Arial" w:hAnsi="Arial" w:eastAsia="Arial" w:cs="Arial"/>
                <w:snapToGrid w:val="0"/>
                <w:color w:val="000000"/>
                <w:spacing w:val="-2"/>
                <w:kern w:val="0"/>
                <w:sz w:val="19"/>
                <w:szCs w:val="19"/>
                <w:lang w:val="en-US" w:eastAsia="zh-CN" w:bidi="ar-SA"/>
              </w:rPr>
              <w:t>持续推进</w:t>
            </w:r>
          </w:p>
        </w:tc>
      </w:tr>
      <w:tr w14:paraId="467F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184" w:type="dxa"/>
            <w:vMerge w:val="continue"/>
            <w:tcBorders>
              <w:top w:val="nil"/>
            </w:tcBorders>
            <w:vAlign w:val="center"/>
          </w:tcPr>
          <w:p w14:paraId="2AB0BD45">
            <w:pPr>
              <w:jc w:val="center"/>
              <w:rPr>
                <w:rFonts w:ascii="Arial"/>
                <w:sz w:val="21"/>
              </w:rPr>
            </w:pPr>
          </w:p>
        </w:tc>
        <w:tc>
          <w:tcPr>
            <w:tcW w:w="5786" w:type="dxa"/>
            <w:vAlign w:val="top"/>
          </w:tcPr>
          <w:p w14:paraId="1316F760">
            <w:pPr>
              <w:pStyle w:val="6"/>
              <w:spacing w:before="242" w:line="219" w:lineRule="auto"/>
              <w:rPr>
                <w:sz w:val="19"/>
                <w:szCs w:val="19"/>
              </w:rPr>
            </w:pPr>
            <w:r>
              <w:rPr>
                <w:sz w:val="19"/>
                <w:szCs w:val="19"/>
              </w:rPr>
              <w:t>23.市场监管、工信、公安部门对违法违规生产销售电动自行车及蓄电池的企业，违规回收、二次组装加工蓄电池的企业，违规提供改装服务及部件的企业依规进行曝光。将</w:t>
            </w:r>
            <w:r>
              <w:rPr>
                <w:spacing w:val="-1"/>
                <w:sz w:val="19"/>
                <w:szCs w:val="19"/>
              </w:rPr>
              <w:t>处罚信息纳入国家企</w:t>
            </w:r>
            <w:r>
              <w:rPr>
                <w:sz w:val="19"/>
                <w:szCs w:val="19"/>
              </w:rPr>
              <w:t>业信用信息公示平台，对严重违法企业单位和</w:t>
            </w:r>
            <w:r>
              <w:rPr>
                <w:spacing w:val="-1"/>
                <w:sz w:val="19"/>
                <w:szCs w:val="19"/>
              </w:rPr>
              <w:t>责任人员，依法依规列入严重失信主体名单。</w:t>
            </w:r>
          </w:p>
        </w:tc>
        <w:tc>
          <w:tcPr>
            <w:tcW w:w="2055" w:type="dxa"/>
            <w:vAlign w:val="top"/>
          </w:tcPr>
          <w:p w14:paraId="464B55A3">
            <w:pPr>
              <w:pStyle w:val="6"/>
              <w:spacing w:before="62" w:line="219" w:lineRule="auto"/>
              <w:ind w:left="145"/>
              <w:jc w:val="left"/>
              <w:rPr>
                <w:rFonts w:hint="eastAsia"/>
                <w:spacing w:val="1"/>
                <w:sz w:val="19"/>
                <w:szCs w:val="19"/>
                <w:lang w:eastAsia="zh-CN"/>
              </w:rPr>
            </w:pPr>
          </w:p>
          <w:p w14:paraId="31433FA1">
            <w:pPr>
              <w:pStyle w:val="6"/>
              <w:spacing w:before="62" w:line="219" w:lineRule="auto"/>
              <w:ind w:left="145"/>
              <w:jc w:val="left"/>
              <w:rPr>
                <w:rFonts w:hint="eastAsia"/>
                <w:spacing w:val="1"/>
                <w:sz w:val="19"/>
                <w:szCs w:val="19"/>
                <w:lang w:eastAsia="zh-CN"/>
              </w:rPr>
            </w:pPr>
          </w:p>
          <w:p w14:paraId="6E7E2207">
            <w:pPr>
              <w:pStyle w:val="6"/>
              <w:spacing w:before="62" w:line="219" w:lineRule="auto"/>
              <w:ind w:left="145"/>
              <w:jc w:val="left"/>
              <w:rPr>
                <w:rFonts w:hint="eastAsia"/>
                <w:spacing w:val="1"/>
                <w:sz w:val="19"/>
                <w:szCs w:val="19"/>
                <w:lang w:eastAsia="zh-CN"/>
              </w:rPr>
            </w:pPr>
            <w:r>
              <w:rPr>
                <w:rFonts w:hint="eastAsia"/>
                <w:spacing w:val="1"/>
                <w:sz w:val="19"/>
                <w:szCs w:val="19"/>
                <w:lang w:eastAsia="zh-CN"/>
              </w:rPr>
              <w:t>县市场监督管理局、县消防救援大队</w:t>
            </w:r>
          </w:p>
        </w:tc>
        <w:tc>
          <w:tcPr>
            <w:tcW w:w="2150" w:type="dxa"/>
            <w:vAlign w:val="center"/>
          </w:tcPr>
          <w:p w14:paraId="120E6F70">
            <w:pPr>
              <w:pStyle w:val="6"/>
              <w:spacing w:before="62" w:line="219" w:lineRule="auto"/>
              <w:ind w:left="145"/>
              <w:jc w:val="left"/>
              <w:rPr>
                <w:rFonts w:hint="eastAsia"/>
                <w:spacing w:val="1"/>
                <w:sz w:val="19"/>
                <w:szCs w:val="19"/>
                <w:lang w:eastAsia="zh-CN"/>
              </w:rPr>
            </w:pPr>
            <w:r>
              <w:rPr>
                <w:rFonts w:hint="eastAsia"/>
                <w:spacing w:val="1"/>
                <w:sz w:val="19"/>
                <w:szCs w:val="19"/>
                <w:lang w:eastAsia="zh-CN"/>
              </w:rPr>
              <w:t>县工信局、县公安局、各镇人民政府</w:t>
            </w:r>
          </w:p>
        </w:tc>
        <w:tc>
          <w:tcPr>
            <w:tcW w:w="2980" w:type="dxa"/>
            <w:vAlign w:val="center"/>
          </w:tcPr>
          <w:p w14:paraId="093513B4">
            <w:pPr>
              <w:pStyle w:val="6"/>
              <w:spacing w:before="62" w:line="219" w:lineRule="auto"/>
              <w:ind w:left="145"/>
              <w:jc w:val="left"/>
              <w:rPr>
                <w:rFonts w:hint="eastAsia"/>
                <w:spacing w:val="1"/>
                <w:sz w:val="19"/>
                <w:szCs w:val="19"/>
                <w:lang w:val="en-US" w:eastAsia="en-US"/>
              </w:rPr>
            </w:pPr>
            <w:r>
              <w:rPr>
                <w:rFonts w:hint="eastAsia"/>
                <w:spacing w:val="1"/>
                <w:sz w:val="19"/>
                <w:szCs w:val="19"/>
                <w:lang w:val="en-US" w:eastAsia="zh-CN"/>
              </w:rPr>
              <w:t>长期坚持</w:t>
            </w:r>
          </w:p>
        </w:tc>
      </w:tr>
      <w:tr w14:paraId="4270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184" w:type="dxa"/>
            <w:vMerge w:val="restart"/>
            <w:tcBorders>
              <w:bottom w:val="nil"/>
            </w:tcBorders>
            <w:vAlign w:val="center"/>
          </w:tcPr>
          <w:p w14:paraId="423FF0D3">
            <w:pPr>
              <w:spacing w:line="286" w:lineRule="auto"/>
              <w:jc w:val="center"/>
              <w:rPr>
                <w:rFonts w:ascii="Arial"/>
                <w:sz w:val="21"/>
              </w:rPr>
            </w:pPr>
          </w:p>
          <w:p w14:paraId="112CA9B6">
            <w:pPr>
              <w:pStyle w:val="6"/>
              <w:spacing w:before="62" w:line="219" w:lineRule="auto"/>
              <w:jc w:val="center"/>
              <w:rPr>
                <w:sz w:val="19"/>
                <w:szCs w:val="19"/>
              </w:rPr>
            </w:pPr>
            <w:r>
              <w:rPr>
                <w:spacing w:val="3"/>
                <w:sz w:val="19"/>
                <w:szCs w:val="19"/>
              </w:rPr>
              <w:t>(七)着力</w:t>
            </w:r>
            <w:r>
              <w:rPr>
                <w:spacing w:val="-2"/>
                <w:sz w:val="19"/>
                <w:szCs w:val="19"/>
              </w:rPr>
              <w:t>解决风险防</w:t>
            </w:r>
            <w:r>
              <w:rPr>
                <w:spacing w:val="6"/>
                <w:sz w:val="19"/>
                <w:szCs w:val="19"/>
              </w:rPr>
              <w:t>范意识和自</w:t>
            </w:r>
            <w:r>
              <w:rPr>
                <w:spacing w:val="3"/>
                <w:sz w:val="19"/>
                <w:szCs w:val="19"/>
              </w:rPr>
              <w:t>防自救能力</w:t>
            </w:r>
            <w:r>
              <w:rPr>
                <w:spacing w:val="-2"/>
                <w:sz w:val="19"/>
                <w:szCs w:val="19"/>
              </w:rPr>
              <w:t>不强问题</w:t>
            </w:r>
          </w:p>
        </w:tc>
        <w:tc>
          <w:tcPr>
            <w:tcW w:w="5786" w:type="dxa"/>
            <w:vAlign w:val="center"/>
          </w:tcPr>
          <w:p w14:paraId="71AD44F5">
            <w:pPr>
              <w:pStyle w:val="6"/>
              <w:spacing w:before="62" w:line="219" w:lineRule="auto"/>
              <w:jc w:val="both"/>
              <w:rPr>
                <w:sz w:val="19"/>
                <w:szCs w:val="19"/>
              </w:rPr>
            </w:pPr>
            <w:r>
              <w:rPr>
                <w:sz w:val="19"/>
                <w:szCs w:val="19"/>
              </w:rPr>
              <w:t>24.常态化开展电动自行车文明停放、安全充电、不得私拉电线及插座和上楼入户等内容的宣传，集中曝光一批</w:t>
            </w:r>
            <w:r>
              <w:rPr>
                <w:spacing w:val="-1"/>
                <w:sz w:val="19"/>
                <w:szCs w:val="19"/>
              </w:rPr>
              <w:t>典型违法案例。鼓励引导群众积极查找并举报身边电动自行车安全隐患。</w:t>
            </w:r>
          </w:p>
        </w:tc>
        <w:tc>
          <w:tcPr>
            <w:tcW w:w="2055" w:type="dxa"/>
            <w:vAlign w:val="center"/>
          </w:tcPr>
          <w:p w14:paraId="4E4D3DA0">
            <w:pPr>
              <w:pStyle w:val="6"/>
              <w:spacing w:before="62" w:line="219" w:lineRule="auto"/>
              <w:ind w:left="145"/>
              <w:jc w:val="center"/>
              <w:rPr>
                <w:rFonts w:hint="eastAsia"/>
                <w:spacing w:val="1"/>
                <w:sz w:val="19"/>
                <w:szCs w:val="19"/>
                <w:lang w:eastAsia="zh-CN"/>
              </w:rPr>
            </w:pPr>
            <w:r>
              <w:rPr>
                <w:rFonts w:hint="eastAsia"/>
                <w:spacing w:val="1"/>
                <w:sz w:val="19"/>
                <w:szCs w:val="19"/>
                <w:lang w:eastAsia="zh-CN"/>
              </w:rPr>
              <w:t>县消防救援大队</w:t>
            </w:r>
          </w:p>
        </w:tc>
        <w:tc>
          <w:tcPr>
            <w:tcW w:w="2150" w:type="dxa"/>
            <w:vAlign w:val="center"/>
          </w:tcPr>
          <w:p w14:paraId="20D432F2">
            <w:pPr>
              <w:pStyle w:val="6"/>
              <w:spacing w:before="62" w:line="219" w:lineRule="auto"/>
              <w:ind w:left="145"/>
              <w:jc w:val="center"/>
              <w:rPr>
                <w:rFonts w:hint="eastAsia"/>
                <w:spacing w:val="1"/>
                <w:sz w:val="19"/>
                <w:szCs w:val="19"/>
                <w:lang w:eastAsia="zh-CN"/>
              </w:rPr>
            </w:pPr>
            <w:r>
              <w:rPr>
                <w:rFonts w:hint="eastAsia"/>
                <w:spacing w:val="1"/>
                <w:sz w:val="19"/>
                <w:szCs w:val="19"/>
                <w:lang w:eastAsia="zh-CN"/>
              </w:rPr>
              <w:t>县应急管理局、各镇人民政府</w:t>
            </w:r>
          </w:p>
        </w:tc>
        <w:tc>
          <w:tcPr>
            <w:tcW w:w="2980" w:type="dxa"/>
            <w:vAlign w:val="center"/>
          </w:tcPr>
          <w:p w14:paraId="295C07BC">
            <w:pPr>
              <w:pStyle w:val="6"/>
              <w:spacing w:before="62" w:line="219" w:lineRule="auto"/>
              <w:ind w:left="145"/>
              <w:jc w:val="center"/>
              <w:rPr>
                <w:rFonts w:hint="eastAsia"/>
                <w:spacing w:val="1"/>
                <w:sz w:val="19"/>
                <w:szCs w:val="19"/>
                <w:lang w:val="en-US" w:eastAsia="en-US"/>
              </w:rPr>
            </w:pPr>
            <w:r>
              <w:rPr>
                <w:rFonts w:hint="eastAsia"/>
                <w:spacing w:val="1"/>
                <w:sz w:val="19"/>
                <w:szCs w:val="19"/>
                <w:lang w:val="en-US" w:eastAsia="zh-CN"/>
              </w:rPr>
              <w:t>长期坚持</w:t>
            </w:r>
          </w:p>
        </w:tc>
      </w:tr>
      <w:tr w14:paraId="35CF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184" w:type="dxa"/>
            <w:vMerge w:val="continue"/>
            <w:tcBorders>
              <w:top w:val="nil"/>
            </w:tcBorders>
            <w:vAlign w:val="top"/>
          </w:tcPr>
          <w:p w14:paraId="513D0400">
            <w:pPr>
              <w:rPr>
                <w:rFonts w:ascii="Arial"/>
                <w:sz w:val="21"/>
              </w:rPr>
            </w:pPr>
          </w:p>
        </w:tc>
        <w:tc>
          <w:tcPr>
            <w:tcW w:w="5786" w:type="dxa"/>
            <w:vAlign w:val="center"/>
          </w:tcPr>
          <w:p w14:paraId="03A06BD9">
            <w:pPr>
              <w:pStyle w:val="6"/>
              <w:spacing w:before="62" w:line="214" w:lineRule="auto"/>
              <w:jc w:val="both"/>
              <w:rPr>
                <w:sz w:val="19"/>
                <w:szCs w:val="19"/>
              </w:rPr>
            </w:pPr>
            <w:r>
              <w:rPr>
                <w:spacing w:val="1"/>
                <w:sz w:val="19"/>
                <w:szCs w:val="19"/>
              </w:rPr>
              <w:t>25.加强行业系统领域安全教育培训。各</w:t>
            </w:r>
            <w:r>
              <w:rPr>
                <w:sz w:val="19"/>
                <w:szCs w:val="19"/>
              </w:rPr>
              <w:t>有关部门按照“三管三必</w:t>
            </w:r>
            <w:r>
              <w:rPr>
                <w:spacing w:val="-1"/>
                <w:sz w:val="19"/>
                <w:szCs w:val="19"/>
              </w:rPr>
              <w:t>须”的要求，将电动自行车安全常识纳入所属行业系统领域单位人员常态化教育培训内容。</w:t>
            </w:r>
          </w:p>
        </w:tc>
        <w:tc>
          <w:tcPr>
            <w:tcW w:w="4205" w:type="dxa"/>
            <w:gridSpan w:val="2"/>
            <w:vAlign w:val="center"/>
          </w:tcPr>
          <w:p w14:paraId="216B2CA8">
            <w:pPr>
              <w:pStyle w:val="6"/>
              <w:spacing w:before="62" w:line="219" w:lineRule="auto"/>
              <w:ind w:left="145"/>
              <w:jc w:val="center"/>
              <w:rPr>
                <w:rFonts w:hint="eastAsia"/>
                <w:spacing w:val="1"/>
                <w:sz w:val="19"/>
                <w:szCs w:val="19"/>
                <w:lang w:eastAsia="zh-CN"/>
              </w:rPr>
            </w:pPr>
            <w:r>
              <w:rPr>
                <w:rFonts w:hint="eastAsia"/>
                <w:spacing w:val="1"/>
                <w:sz w:val="19"/>
                <w:szCs w:val="19"/>
                <w:lang w:eastAsia="zh-CN"/>
              </w:rPr>
              <w:t>县消防安全委员会、县各有关行业系统领域管理部门、各镇人民政府落实</w:t>
            </w:r>
          </w:p>
        </w:tc>
        <w:tc>
          <w:tcPr>
            <w:tcW w:w="2980" w:type="dxa"/>
            <w:vAlign w:val="center"/>
          </w:tcPr>
          <w:p w14:paraId="47409737">
            <w:pPr>
              <w:pStyle w:val="6"/>
              <w:spacing w:before="62" w:line="219" w:lineRule="auto"/>
              <w:jc w:val="center"/>
              <w:rPr>
                <w:rFonts w:hint="eastAsia"/>
                <w:spacing w:val="1"/>
                <w:sz w:val="19"/>
                <w:szCs w:val="19"/>
                <w:lang w:eastAsia="zh-CN"/>
              </w:rPr>
            </w:pPr>
            <w:r>
              <w:rPr>
                <w:rFonts w:hint="eastAsia"/>
                <w:spacing w:val="1"/>
                <w:sz w:val="19"/>
                <w:szCs w:val="19"/>
                <w:lang w:eastAsia="zh-CN"/>
              </w:rPr>
              <w:t>长期坚持</w:t>
            </w:r>
          </w:p>
        </w:tc>
      </w:tr>
    </w:tbl>
    <w:p w14:paraId="055CDB39"/>
    <w:p w14:paraId="3AEE8C61"/>
    <w:sectPr>
      <w:pgSz w:w="16980" w:h="12110"/>
      <w:pgMar w:top="954" w:right="1734" w:bottom="400" w:left="1125"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0CD2">
    <w:pPr>
      <w:spacing w:line="173" w:lineRule="auto"/>
      <w:ind w:left="6814"/>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D65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jE0YjBkZjhjMTY4NmE2NGNhYjZlNzJlNTg4YzMifQ=="/>
  </w:docVars>
  <w:rsids>
    <w:rsidRoot w:val="291A192D"/>
    <w:rsid w:val="291A192D"/>
    <w:rsid w:val="6EFB3EA2"/>
    <w:rsid w:val="7BDD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Normal (Web)"/>
    <w:basedOn w:val="1"/>
    <w:qFormat/>
    <w:uiPriority w:val="0"/>
    <w:rPr>
      <w:sz w:val="24"/>
    </w:rPr>
  </w:style>
  <w:style w:type="paragraph" w:customStyle="1" w:styleId="6">
    <w:name w:val="Table Text"/>
    <w:basedOn w:val="1"/>
    <w:autoRedefine/>
    <w:semiHidden/>
    <w:qFormat/>
    <w:uiPriority w:val="0"/>
    <w:rPr>
      <w:rFonts w:ascii="宋体" w:hAnsi="宋体" w:eastAsia="宋体" w:cs="宋体"/>
      <w:sz w:val="23"/>
      <w:szCs w:val="23"/>
      <w:lang w:val="en-US" w:eastAsia="en-US" w:bidi="ar-SA"/>
    </w:rPr>
  </w:style>
  <w:style w:type="table" w:customStyle="1" w:styleId="7">
    <w:name w:val="Table Normal"/>
    <w:basedOn w:val="4"/>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2024-08-01T08:58:00Z</dcterms:created>
  <dc:creator>Administrator</dc:creator>
  <cp:lastModifiedBy>Administrator</cp:lastModifiedBy>
  <dcterms:modified xsi:type="dcterms:W3CDTF">2024-08-01T08:59:09Z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50FFBDFF3345475F9080A716C3156A6B_13</vt:lpwstr>
  </property>
</Properties>
</file>