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993C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610" w:firstLineChars="500"/>
        <w:jc w:val="both"/>
        <w:textAlignment w:val="auto"/>
        <w:rPr>
          <w:rFonts w:hint="default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eastAsia="仿宋" w:cs="仿宋"/>
          <w:b/>
          <w:bCs/>
          <w:color w:val="auto"/>
          <w:spacing w:val="0"/>
          <w:kern w:val="2"/>
          <w:sz w:val="52"/>
          <w:szCs w:val="52"/>
          <w:highlight w:val="none"/>
          <w:lang w:val="en-US" w:eastAsia="zh-CN" w:bidi="ar-SA"/>
        </w:rPr>
        <w:t>政府债务情况</w:t>
      </w:r>
    </w:p>
    <w:p w14:paraId="5C52A0C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年，省财政厅转贷我县地方政府债券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25593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万元，其中：新增债券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13002 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万元，再融资债券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12591 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万元。</w:t>
      </w:r>
    </w:p>
    <w:p w14:paraId="0D1FBD0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新增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一般债券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4600万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元，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主要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用于消防队站建设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积翠镇污水治理工程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低级别文物保护修缮工程项目、方山高中新校区宿舍楼建设项目、方山县鸦儿崖交旅融合建设项目、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方山县人民医院新建住院楼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等项目建设和置换棚户区改造债务。</w:t>
      </w:r>
    </w:p>
    <w:p w14:paraId="40645A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default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再融资债券用于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偿还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到期政府债券本金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和置换存量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隐性债务。</w:t>
      </w:r>
      <w:bookmarkStart w:id="0" w:name="_GoBack"/>
      <w:bookmarkEnd w:id="0"/>
    </w:p>
    <w:p w14:paraId="146934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年债务还本付息支出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21299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万元，其中：一般债务还本支出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8797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专项债务还本支出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5291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一般债务付息支出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2749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万元，专项债务付息支出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4462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万元。</w:t>
      </w:r>
    </w:p>
    <w:p w14:paraId="14F71A25">
      <w:pPr>
        <w:pStyle w:val="8"/>
        <w:numPr>
          <w:ilvl w:val="0"/>
          <w:numId w:val="0"/>
        </w:numPr>
        <w:ind w:firstLine="640" w:firstLineChars="200"/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年全县政府债务限额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238301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万元，债务余额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236804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万元，未突破政府债务限额。政府债务率为</w:t>
      </w: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98.84% 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，低于全国地方政</w:t>
      </w:r>
      <w:r>
        <w:rPr>
          <w:rFonts w:hint="eastAsia" w:ascii="仿宋" w:hAnsi="Calibri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府债务警戒线，债务风险总体可控。</w:t>
      </w:r>
    </w:p>
    <w:p w14:paraId="34EE6361">
      <w:pPr>
        <w:pStyle w:val="4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2025年预算安排政府债券还本付息 7696万元，其中：一般债务还本支出1259万元；一般债务付息支出2826万元，专项债务付息支出3611万元。</w:t>
      </w:r>
    </w:p>
    <w:p w14:paraId="46CF3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02DD2"/>
    <w:rsid w:val="6BE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rPr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正文首行缩进 21"/>
    <w:basedOn w:val="9"/>
    <w:next w:val="4"/>
    <w:autoRedefine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2025-04-02T08:56:00Z</dcterms:created>
  <dc:creator>贾</dc:creator>
  <cp:lastModifiedBy>贾</cp:lastModifiedBy>
  <dcterms:modified xsi:type="dcterms:W3CDTF">2025-04-02T09:22:50Z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AFC03D244D2C458E80F22ACCB3E7E8D9_11</vt:lpwstr>
  </property>
  <property fmtid="{D5CDD505-2E9C-101B-9397-08002B2CF9AE}" pid="4" name="KSOTemplateDocerSaveRecord">
    <vt:lpwstr>eyJoZGlkIjoiNTI5YmFiMTRhY2U0NDMyZWE2NmZhMWI3NGY2YzllMTIifQ==</vt:lpwstr>
  </property>
</Properties>
</file>