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223D1">
      <w:pPr>
        <w:rPr>
          <w:rFonts w:hint="eastAsia" w:ascii="仿宋_GB2312" w:hAnsi="仿宋_GB2312" w:eastAsia="仿宋_GB2312" w:cs="仿宋_GB2312"/>
          <w:sz w:val="36"/>
          <w:szCs w:val="36"/>
        </w:rPr>
      </w:pPr>
    </w:p>
    <w:p w14:paraId="71E4D5B9">
      <w:pPr>
        <w:rPr>
          <w:rFonts w:hint="eastAsia" w:ascii="仿宋_GB2312" w:hAnsi="仿宋_GB2312" w:eastAsia="仿宋_GB2312" w:cs="仿宋_GB2312"/>
          <w:sz w:val="36"/>
          <w:szCs w:val="36"/>
        </w:rPr>
      </w:pPr>
    </w:p>
    <w:p w14:paraId="72E82160">
      <w:pPr>
        <w:rPr>
          <w:rFonts w:hint="eastAsia" w:ascii="仿宋_GB2312" w:hAnsi="仿宋_GB2312" w:eastAsia="仿宋_GB2312" w:cs="仿宋_GB2312"/>
          <w:sz w:val="36"/>
          <w:szCs w:val="36"/>
        </w:rPr>
      </w:pPr>
    </w:p>
    <w:p w14:paraId="4E5553CA">
      <w:pPr>
        <w:rPr>
          <w:rFonts w:hint="eastAsia" w:ascii="仿宋_GB2312" w:hAnsi="仿宋_GB2312" w:eastAsia="仿宋_GB2312" w:cs="仿宋_GB2312"/>
          <w:sz w:val="36"/>
          <w:szCs w:val="36"/>
        </w:rPr>
      </w:pPr>
    </w:p>
    <w:p w14:paraId="3A7C4639">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14:paraId="4C9ECA61">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14:paraId="1E7222B7">
      <w:pPr>
        <w:jc w:val="center"/>
        <w:rPr>
          <w:rFonts w:eastAsia="仿宋"/>
          <w:sz w:val="52"/>
          <w:szCs w:val="52"/>
        </w:rPr>
      </w:pPr>
    </w:p>
    <w:p w14:paraId="33DF85F2">
      <w:pPr>
        <w:jc w:val="center"/>
        <w:rPr>
          <w:rFonts w:eastAsia="仿宋"/>
          <w:sz w:val="52"/>
          <w:szCs w:val="52"/>
        </w:rPr>
      </w:pPr>
    </w:p>
    <w:p w14:paraId="1BAA923D">
      <w:pPr>
        <w:jc w:val="center"/>
        <w:rPr>
          <w:rFonts w:eastAsia="仿宋"/>
          <w:sz w:val="44"/>
          <w:szCs w:val="44"/>
        </w:rPr>
      </w:pPr>
    </w:p>
    <w:p w14:paraId="79B8EAC6">
      <w:pPr>
        <w:jc w:val="center"/>
        <w:rPr>
          <w:rFonts w:eastAsia="仿宋"/>
          <w:sz w:val="44"/>
          <w:szCs w:val="44"/>
        </w:rPr>
      </w:pPr>
    </w:p>
    <w:p w14:paraId="4613AC1C">
      <w:pPr>
        <w:jc w:val="center"/>
        <w:rPr>
          <w:rFonts w:eastAsia="仿宋"/>
          <w:sz w:val="44"/>
          <w:szCs w:val="44"/>
        </w:rPr>
      </w:pPr>
    </w:p>
    <w:p w14:paraId="7BBE8383">
      <w:pPr>
        <w:jc w:val="center"/>
        <w:rPr>
          <w:rFonts w:eastAsia="仿宋"/>
          <w:sz w:val="44"/>
          <w:szCs w:val="44"/>
        </w:rPr>
      </w:pPr>
    </w:p>
    <w:p w14:paraId="56C83485">
      <w:pPr>
        <w:jc w:val="center"/>
        <w:rPr>
          <w:rFonts w:eastAsia="仿宋"/>
          <w:sz w:val="44"/>
          <w:szCs w:val="44"/>
        </w:rPr>
      </w:pPr>
    </w:p>
    <w:p w14:paraId="5993BCF0">
      <w:pPr>
        <w:adjustRightInd w:val="0"/>
        <w:snapToGrid w:val="0"/>
        <w:spacing w:line="288" w:lineRule="auto"/>
        <w:ind w:left="2291" w:leftChars="136" w:hanging="2005" w:hangingChars="557"/>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 xml:space="preserve">       20万吨干粉砂浆生产线 </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14:paraId="13C42F3D">
      <w:pPr>
        <w:adjustRightInd w:val="0"/>
        <w:snapToGrid w:val="0"/>
        <w:spacing w:line="288" w:lineRule="auto"/>
        <w:ind w:left="2291" w:leftChars="136" w:hanging="2005" w:hangingChars="557"/>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山西鸿升工贸能源有限责任公司</w:t>
      </w:r>
    </w:p>
    <w:p w14:paraId="6854E7C9">
      <w:pPr>
        <w:adjustRightInd w:val="0"/>
        <w:snapToGrid w:val="0"/>
        <w:spacing w:line="288" w:lineRule="auto"/>
        <w:ind w:left="2291" w:leftChars="136" w:hanging="2005" w:hangingChars="557"/>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2024年10月</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p>
    <w:p w14:paraId="1C4D05CE">
      <w:pPr>
        <w:adjustRightInd w:val="0"/>
        <w:snapToGrid w:val="0"/>
        <w:jc w:val="center"/>
        <w:rPr>
          <w:rFonts w:ascii="仿宋_GB2312" w:eastAsia="仿宋_GB2312"/>
          <w:sz w:val="36"/>
          <w:szCs w:val="36"/>
          <w:u w:val="single"/>
        </w:rPr>
      </w:pPr>
      <w:bookmarkStart w:id="0" w:name="_Hlk57884087"/>
    </w:p>
    <w:p w14:paraId="51E46602">
      <w:pPr>
        <w:adjustRightInd w:val="0"/>
        <w:snapToGrid w:val="0"/>
        <w:jc w:val="center"/>
        <w:rPr>
          <w:rFonts w:ascii="仿宋_GB2312" w:eastAsia="仿宋_GB2312"/>
          <w:sz w:val="36"/>
          <w:szCs w:val="36"/>
        </w:rPr>
      </w:pPr>
    </w:p>
    <w:p w14:paraId="422A4114">
      <w:pPr>
        <w:adjustRightInd w:val="0"/>
        <w:snapToGrid w:val="0"/>
        <w:jc w:val="center"/>
        <w:rPr>
          <w:rFonts w:ascii="仿宋_GB2312" w:eastAsia="仿宋_GB2312"/>
          <w:sz w:val="36"/>
          <w:szCs w:val="36"/>
        </w:rPr>
      </w:pPr>
    </w:p>
    <w:p w14:paraId="6A0F7ABF">
      <w:pPr>
        <w:adjustRightInd w:val="0"/>
        <w:snapToGrid w:val="0"/>
        <w:jc w:val="center"/>
        <w:rPr>
          <w:rFonts w:ascii="仿宋_GB2312" w:eastAsia="仿宋_GB2312"/>
          <w:sz w:val="36"/>
          <w:szCs w:val="36"/>
        </w:rPr>
      </w:pPr>
    </w:p>
    <w:p w14:paraId="6EE4F376">
      <w:pPr>
        <w:adjustRightInd w:val="0"/>
        <w:snapToGrid w:val="0"/>
        <w:jc w:val="center"/>
        <w:rPr>
          <w:rFonts w:ascii="仿宋_GB2312" w:eastAsia="仿宋_GB2312"/>
          <w:sz w:val="36"/>
          <w:szCs w:val="36"/>
        </w:rPr>
      </w:pPr>
    </w:p>
    <w:p w14:paraId="605CDC4B">
      <w:pPr>
        <w:adjustRightInd w:val="0"/>
        <w:snapToGrid w:val="0"/>
        <w:jc w:val="center"/>
        <w:rPr>
          <w:rFonts w:ascii="仿宋_GB2312" w:eastAsia="仿宋_GB2312"/>
          <w:sz w:val="36"/>
          <w:szCs w:val="36"/>
        </w:rPr>
      </w:pPr>
    </w:p>
    <w:bookmarkEnd w:id="0"/>
    <w:p w14:paraId="657C0EC6">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14:paraId="68459C7A">
      <w:pPr>
        <w:adjustRightInd w:val="0"/>
        <w:snapToGrid w:val="0"/>
        <w:sectPr>
          <w:headerReference r:id="rId3" w:type="default"/>
          <w:footerReference r:id="rId4" w:type="default"/>
          <w:footerReference r:id="rId5" w:type="even"/>
          <w:pgSz w:w="11906" w:h="16838"/>
          <w:pgMar w:top="1701" w:right="1531" w:bottom="1701" w:left="1531" w:header="851" w:footer="1077" w:gutter="0"/>
          <w:pgNumType w:start="3"/>
          <w:cols w:space="720" w:num="1"/>
          <w:docGrid w:linePitch="312" w:charSpace="0"/>
        </w:sectPr>
      </w:pPr>
    </w:p>
    <w:p w14:paraId="59225CA9">
      <w:pPr>
        <w:pStyle w:val="34"/>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56"/>
        <w:gridCol w:w="2126"/>
        <w:gridCol w:w="1560"/>
        <w:gridCol w:w="3328"/>
      </w:tblGrid>
      <w:tr w14:paraId="74314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1649A081">
            <w:pPr>
              <w:adjustRightInd w:val="0"/>
              <w:snapToGrid w:val="0"/>
              <w:jc w:val="center"/>
              <w:rPr>
                <w:szCs w:val="21"/>
              </w:rPr>
            </w:pPr>
            <w:r>
              <w:rPr>
                <w:szCs w:val="21"/>
              </w:rPr>
              <w:t>建设项目名称</w:t>
            </w:r>
          </w:p>
        </w:tc>
        <w:tc>
          <w:tcPr>
            <w:tcW w:w="7014" w:type="dxa"/>
            <w:gridSpan w:val="3"/>
            <w:vAlign w:val="center"/>
          </w:tcPr>
          <w:p w14:paraId="219F37ED">
            <w:pPr>
              <w:adjustRightInd w:val="0"/>
              <w:snapToGrid w:val="0"/>
              <w:jc w:val="center"/>
              <w:rPr>
                <w:szCs w:val="21"/>
              </w:rPr>
            </w:pPr>
            <w:r>
              <w:rPr>
                <w:szCs w:val="21"/>
              </w:rPr>
              <w:t>20万吨干粉砂浆生产线</w:t>
            </w:r>
          </w:p>
        </w:tc>
      </w:tr>
      <w:tr w14:paraId="5D911B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21B27D71">
            <w:pPr>
              <w:adjustRightInd w:val="0"/>
              <w:snapToGrid w:val="0"/>
              <w:jc w:val="center"/>
              <w:rPr>
                <w:szCs w:val="21"/>
              </w:rPr>
            </w:pPr>
            <w:r>
              <w:rPr>
                <w:szCs w:val="21"/>
              </w:rPr>
              <w:t>项目代码</w:t>
            </w:r>
          </w:p>
        </w:tc>
        <w:tc>
          <w:tcPr>
            <w:tcW w:w="7014" w:type="dxa"/>
            <w:gridSpan w:val="3"/>
            <w:vAlign w:val="center"/>
          </w:tcPr>
          <w:p w14:paraId="5783278C">
            <w:pPr>
              <w:adjustRightInd w:val="0"/>
              <w:snapToGrid w:val="0"/>
              <w:jc w:val="center"/>
              <w:rPr>
                <w:szCs w:val="21"/>
              </w:rPr>
            </w:pPr>
            <w:r>
              <w:rPr>
                <w:szCs w:val="21"/>
              </w:rPr>
              <w:t>2406-141128-89-01-791666</w:t>
            </w:r>
          </w:p>
        </w:tc>
      </w:tr>
      <w:tr w14:paraId="12709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22D2F7FB">
            <w:pPr>
              <w:adjustRightInd w:val="0"/>
              <w:snapToGrid w:val="0"/>
              <w:jc w:val="center"/>
              <w:rPr>
                <w:szCs w:val="21"/>
              </w:rPr>
            </w:pPr>
            <w:r>
              <w:rPr>
                <w:szCs w:val="21"/>
              </w:rPr>
              <w:t>建设单位联系人</w:t>
            </w:r>
          </w:p>
        </w:tc>
        <w:tc>
          <w:tcPr>
            <w:tcW w:w="2126" w:type="dxa"/>
            <w:vAlign w:val="center"/>
          </w:tcPr>
          <w:p w14:paraId="12801913">
            <w:pPr>
              <w:adjustRightInd w:val="0"/>
              <w:snapToGrid w:val="0"/>
              <w:jc w:val="center"/>
              <w:rPr>
                <w:szCs w:val="21"/>
              </w:rPr>
            </w:pPr>
            <w:r>
              <w:rPr>
                <w:rFonts w:hint="eastAsia"/>
                <w:szCs w:val="21"/>
              </w:rPr>
              <w:t>孙敏</w:t>
            </w:r>
          </w:p>
        </w:tc>
        <w:tc>
          <w:tcPr>
            <w:tcW w:w="1560" w:type="dxa"/>
            <w:vAlign w:val="center"/>
          </w:tcPr>
          <w:p w14:paraId="574EACEA">
            <w:pPr>
              <w:adjustRightInd w:val="0"/>
              <w:snapToGrid w:val="0"/>
              <w:jc w:val="center"/>
              <w:rPr>
                <w:szCs w:val="21"/>
              </w:rPr>
            </w:pPr>
            <w:r>
              <w:rPr>
                <w:szCs w:val="21"/>
              </w:rPr>
              <w:t>联系方式</w:t>
            </w:r>
          </w:p>
        </w:tc>
        <w:tc>
          <w:tcPr>
            <w:tcW w:w="3328" w:type="dxa"/>
            <w:vAlign w:val="center"/>
          </w:tcPr>
          <w:p w14:paraId="004C8400">
            <w:pPr>
              <w:adjustRightInd w:val="0"/>
              <w:snapToGrid w:val="0"/>
              <w:jc w:val="center"/>
              <w:rPr>
                <w:szCs w:val="21"/>
              </w:rPr>
            </w:pPr>
            <w:r>
              <w:rPr>
                <w:rFonts w:hint="eastAsia"/>
                <w:szCs w:val="21"/>
              </w:rPr>
              <w:t>17118089999</w:t>
            </w:r>
          </w:p>
        </w:tc>
      </w:tr>
      <w:tr w14:paraId="50440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03A569BA">
            <w:pPr>
              <w:adjustRightInd w:val="0"/>
              <w:snapToGrid w:val="0"/>
              <w:jc w:val="center"/>
              <w:rPr>
                <w:szCs w:val="21"/>
              </w:rPr>
            </w:pPr>
            <w:r>
              <w:rPr>
                <w:szCs w:val="21"/>
              </w:rPr>
              <w:t>建设地点</w:t>
            </w:r>
          </w:p>
        </w:tc>
        <w:tc>
          <w:tcPr>
            <w:tcW w:w="7014" w:type="dxa"/>
            <w:gridSpan w:val="3"/>
            <w:vAlign w:val="center"/>
          </w:tcPr>
          <w:p w14:paraId="7BD5B314">
            <w:pPr>
              <w:adjustRightInd w:val="0"/>
              <w:snapToGrid w:val="0"/>
              <w:jc w:val="center"/>
              <w:rPr>
                <w:szCs w:val="21"/>
              </w:rPr>
            </w:pPr>
            <w:r>
              <w:rPr>
                <w:szCs w:val="21"/>
              </w:rPr>
              <w:t>山西省吕梁市方山县峪口镇呼家湾村</w:t>
            </w:r>
            <w:r>
              <w:rPr>
                <w:rFonts w:hint="eastAsia"/>
                <w:szCs w:val="21"/>
              </w:rPr>
              <w:t>东南侧约</w:t>
            </w:r>
            <w:r>
              <w:rPr>
                <w:szCs w:val="21"/>
              </w:rPr>
              <w:t>47m</w:t>
            </w:r>
          </w:p>
        </w:tc>
      </w:tr>
      <w:tr w14:paraId="3DE46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5CBE030E">
            <w:pPr>
              <w:adjustRightInd w:val="0"/>
              <w:snapToGrid w:val="0"/>
              <w:jc w:val="center"/>
              <w:rPr>
                <w:szCs w:val="21"/>
              </w:rPr>
            </w:pPr>
            <w:r>
              <w:rPr>
                <w:szCs w:val="21"/>
              </w:rPr>
              <w:t>地理坐标</w:t>
            </w:r>
          </w:p>
        </w:tc>
        <w:tc>
          <w:tcPr>
            <w:tcW w:w="7014" w:type="dxa"/>
            <w:gridSpan w:val="3"/>
            <w:vAlign w:val="center"/>
          </w:tcPr>
          <w:p w14:paraId="00882A60">
            <w:pPr>
              <w:jc w:val="center"/>
              <w:rPr>
                <w:szCs w:val="21"/>
              </w:rPr>
            </w:pPr>
            <w:r>
              <w:rPr>
                <w:rFonts w:hint="eastAsia"/>
                <w:szCs w:val="21"/>
              </w:rPr>
              <w:t>西侧厂区：111</w:t>
            </w:r>
            <w:r>
              <w:rPr>
                <w:szCs w:val="21"/>
              </w:rPr>
              <w:t>度</w:t>
            </w:r>
            <w:r>
              <w:rPr>
                <w:rFonts w:hint="eastAsia"/>
                <w:szCs w:val="21"/>
              </w:rPr>
              <w:t>8</w:t>
            </w:r>
            <w:r>
              <w:rPr>
                <w:szCs w:val="21"/>
              </w:rPr>
              <w:t>分</w:t>
            </w:r>
            <w:r>
              <w:rPr>
                <w:rFonts w:hint="eastAsia"/>
                <w:szCs w:val="21"/>
              </w:rPr>
              <w:t>13.117</w:t>
            </w:r>
            <w:r>
              <w:rPr>
                <w:szCs w:val="21"/>
              </w:rPr>
              <w:t>秒，</w:t>
            </w:r>
            <w:r>
              <w:rPr>
                <w:rFonts w:hint="eastAsia"/>
                <w:szCs w:val="21"/>
              </w:rPr>
              <w:t>37</w:t>
            </w:r>
            <w:r>
              <w:rPr>
                <w:szCs w:val="21"/>
              </w:rPr>
              <w:t>度</w:t>
            </w:r>
            <w:r>
              <w:rPr>
                <w:rFonts w:hint="eastAsia"/>
                <w:szCs w:val="21"/>
              </w:rPr>
              <w:t>48</w:t>
            </w:r>
            <w:r>
              <w:rPr>
                <w:szCs w:val="21"/>
              </w:rPr>
              <w:t>分</w:t>
            </w:r>
            <w:r>
              <w:rPr>
                <w:rFonts w:hint="eastAsia"/>
                <w:szCs w:val="21"/>
              </w:rPr>
              <w:t>18.977</w:t>
            </w:r>
            <w:r>
              <w:rPr>
                <w:szCs w:val="21"/>
              </w:rPr>
              <w:t>秒</w:t>
            </w:r>
          </w:p>
          <w:p w14:paraId="02CE42C7">
            <w:pPr>
              <w:jc w:val="center"/>
              <w:rPr>
                <w:szCs w:val="21"/>
              </w:rPr>
            </w:pPr>
            <w:r>
              <w:rPr>
                <w:rFonts w:hint="eastAsia"/>
                <w:szCs w:val="21"/>
              </w:rPr>
              <w:t>东侧厂区：111</w:t>
            </w:r>
            <w:r>
              <w:rPr>
                <w:szCs w:val="21"/>
              </w:rPr>
              <w:t>度</w:t>
            </w:r>
            <w:r>
              <w:rPr>
                <w:rFonts w:hint="eastAsia"/>
                <w:szCs w:val="21"/>
              </w:rPr>
              <w:t>8</w:t>
            </w:r>
            <w:r>
              <w:rPr>
                <w:szCs w:val="21"/>
              </w:rPr>
              <w:t>分</w:t>
            </w:r>
            <w:r>
              <w:rPr>
                <w:rFonts w:hint="eastAsia"/>
                <w:szCs w:val="21"/>
              </w:rPr>
              <w:t>22.310</w:t>
            </w:r>
            <w:r>
              <w:rPr>
                <w:szCs w:val="21"/>
              </w:rPr>
              <w:t>秒，</w:t>
            </w:r>
            <w:r>
              <w:rPr>
                <w:rFonts w:hint="eastAsia"/>
                <w:szCs w:val="21"/>
              </w:rPr>
              <w:t>37</w:t>
            </w:r>
            <w:r>
              <w:rPr>
                <w:szCs w:val="21"/>
              </w:rPr>
              <w:t>度</w:t>
            </w:r>
            <w:r>
              <w:rPr>
                <w:rFonts w:hint="eastAsia"/>
                <w:szCs w:val="21"/>
              </w:rPr>
              <w:t>48</w:t>
            </w:r>
            <w:r>
              <w:rPr>
                <w:szCs w:val="21"/>
              </w:rPr>
              <w:t>分</w:t>
            </w:r>
            <w:r>
              <w:rPr>
                <w:rFonts w:hint="eastAsia"/>
                <w:szCs w:val="21"/>
              </w:rPr>
              <w:t>19.926</w:t>
            </w:r>
            <w:r>
              <w:rPr>
                <w:szCs w:val="21"/>
              </w:rPr>
              <w:t>秒</w:t>
            </w:r>
          </w:p>
        </w:tc>
      </w:tr>
      <w:tr w14:paraId="299303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56" w:type="dxa"/>
            <w:tcMar>
              <w:top w:w="16" w:type="dxa"/>
              <w:left w:w="16" w:type="dxa"/>
              <w:right w:w="16" w:type="dxa"/>
            </w:tcMar>
            <w:vAlign w:val="center"/>
          </w:tcPr>
          <w:p w14:paraId="7F014886">
            <w:pPr>
              <w:adjustRightInd w:val="0"/>
              <w:snapToGrid w:val="0"/>
              <w:jc w:val="center"/>
              <w:rPr>
                <w:szCs w:val="21"/>
              </w:rPr>
            </w:pPr>
            <w:r>
              <w:rPr>
                <w:szCs w:val="21"/>
              </w:rPr>
              <w:t>国民经济</w:t>
            </w:r>
          </w:p>
          <w:p w14:paraId="6F483024">
            <w:pPr>
              <w:adjustRightInd w:val="0"/>
              <w:snapToGrid w:val="0"/>
              <w:jc w:val="center"/>
              <w:rPr>
                <w:szCs w:val="21"/>
                <w:highlight w:val="yellow"/>
              </w:rPr>
            </w:pPr>
            <w:r>
              <w:rPr>
                <w:szCs w:val="21"/>
              </w:rPr>
              <w:t>行业类别</w:t>
            </w:r>
          </w:p>
        </w:tc>
        <w:tc>
          <w:tcPr>
            <w:tcW w:w="2126" w:type="dxa"/>
            <w:vAlign w:val="center"/>
          </w:tcPr>
          <w:p w14:paraId="3F6BD1D6">
            <w:pPr>
              <w:adjustRightInd w:val="0"/>
              <w:snapToGrid w:val="0"/>
              <w:jc w:val="center"/>
              <w:rPr>
                <w:szCs w:val="21"/>
                <w:highlight w:val="yellow"/>
              </w:rPr>
            </w:pPr>
            <w:r>
              <w:rPr>
                <w:szCs w:val="21"/>
              </w:rPr>
              <w:t>C3039其他建筑材料制造</w:t>
            </w:r>
          </w:p>
        </w:tc>
        <w:tc>
          <w:tcPr>
            <w:tcW w:w="1560" w:type="dxa"/>
            <w:vAlign w:val="center"/>
          </w:tcPr>
          <w:p w14:paraId="265DC2DB">
            <w:pPr>
              <w:adjustRightInd w:val="0"/>
              <w:snapToGrid w:val="0"/>
              <w:jc w:val="center"/>
              <w:rPr>
                <w:szCs w:val="21"/>
              </w:rPr>
            </w:pPr>
            <w:bookmarkStart w:id="1" w:name="_Hlk49843745"/>
            <w:r>
              <w:rPr>
                <w:szCs w:val="21"/>
              </w:rPr>
              <w:t>建设项目</w:t>
            </w:r>
          </w:p>
          <w:p w14:paraId="7609034D">
            <w:pPr>
              <w:adjustRightInd w:val="0"/>
              <w:snapToGrid w:val="0"/>
              <w:jc w:val="center"/>
              <w:rPr>
                <w:szCs w:val="21"/>
              </w:rPr>
            </w:pPr>
            <w:r>
              <w:rPr>
                <w:szCs w:val="21"/>
              </w:rPr>
              <w:t>行业类别</w:t>
            </w:r>
            <w:bookmarkEnd w:id="1"/>
          </w:p>
        </w:tc>
        <w:tc>
          <w:tcPr>
            <w:tcW w:w="3328" w:type="dxa"/>
            <w:vAlign w:val="center"/>
          </w:tcPr>
          <w:p w14:paraId="52D0A692">
            <w:pPr>
              <w:adjustRightInd w:val="0"/>
              <w:snapToGrid w:val="0"/>
              <w:rPr>
                <w:szCs w:val="21"/>
                <w:shd w:val="clear" w:color="auto" w:fill="FFFFFF"/>
              </w:rPr>
            </w:pPr>
            <w:r>
              <w:rPr>
                <w:szCs w:val="21"/>
                <w:shd w:val="clear" w:color="auto" w:fill="FFFFFF"/>
              </w:rPr>
              <w:t>二十七、非金属矿物制品业—56 砖瓦、石材等建筑材料制造303—建筑用石加工、其他建筑材料制造(含干粉砂浆搅拌站)</w:t>
            </w:r>
          </w:p>
        </w:tc>
      </w:tr>
      <w:tr w14:paraId="2A1F1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56" w:type="dxa"/>
            <w:tcMar>
              <w:top w:w="16" w:type="dxa"/>
              <w:left w:w="16" w:type="dxa"/>
              <w:right w:w="16" w:type="dxa"/>
            </w:tcMar>
            <w:vAlign w:val="center"/>
          </w:tcPr>
          <w:p w14:paraId="0804FA35">
            <w:pPr>
              <w:adjustRightInd w:val="0"/>
              <w:snapToGrid w:val="0"/>
              <w:jc w:val="center"/>
              <w:rPr>
                <w:szCs w:val="21"/>
              </w:rPr>
            </w:pPr>
            <w:r>
              <w:rPr>
                <w:szCs w:val="21"/>
              </w:rPr>
              <w:t>建设性质</w:t>
            </w:r>
          </w:p>
        </w:tc>
        <w:tc>
          <w:tcPr>
            <w:tcW w:w="2126" w:type="dxa"/>
            <w:vAlign w:val="center"/>
          </w:tcPr>
          <w:p w14:paraId="41FF81F8">
            <w:pPr>
              <w:jc w:val="left"/>
              <w:rPr>
                <w:szCs w:val="21"/>
              </w:rPr>
            </w:pPr>
            <w:r>
              <w:rPr>
                <w:szCs w:val="21"/>
              </w:rPr>
              <w:sym w:font="Wingdings 2" w:char="0052"/>
            </w:r>
            <w:r>
              <w:rPr>
                <w:szCs w:val="21"/>
              </w:rPr>
              <w:t>新建（迁建）</w:t>
            </w:r>
          </w:p>
          <w:p w14:paraId="0229E236">
            <w:pPr>
              <w:jc w:val="left"/>
              <w:rPr>
                <w:szCs w:val="21"/>
              </w:rPr>
            </w:pPr>
            <w:r>
              <w:rPr>
                <w:szCs w:val="21"/>
              </w:rPr>
              <w:sym w:font="Wingdings 2" w:char="00A3"/>
            </w:r>
            <w:r>
              <w:rPr>
                <w:szCs w:val="21"/>
              </w:rPr>
              <w:t>改建</w:t>
            </w:r>
          </w:p>
          <w:p w14:paraId="1BD7E04D">
            <w:pPr>
              <w:jc w:val="left"/>
              <w:rPr>
                <w:szCs w:val="21"/>
              </w:rPr>
            </w:pPr>
            <w:r>
              <w:rPr>
                <w:szCs w:val="21"/>
              </w:rPr>
              <w:sym w:font="Wingdings 2" w:char="00A3"/>
            </w:r>
            <w:r>
              <w:rPr>
                <w:szCs w:val="21"/>
              </w:rPr>
              <w:t>扩建</w:t>
            </w:r>
          </w:p>
          <w:p w14:paraId="43C4A3AB">
            <w:pPr>
              <w:jc w:val="left"/>
              <w:rPr>
                <w:szCs w:val="21"/>
              </w:rPr>
            </w:pPr>
            <w:r>
              <w:rPr>
                <w:szCs w:val="21"/>
              </w:rPr>
              <w:sym w:font="Wingdings 2" w:char="00A3"/>
            </w:r>
            <w:r>
              <w:rPr>
                <w:szCs w:val="21"/>
              </w:rPr>
              <w:t>技术改造</w:t>
            </w:r>
          </w:p>
        </w:tc>
        <w:tc>
          <w:tcPr>
            <w:tcW w:w="1560" w:type="dxa"/>
            <w:vAlign w:val="center"/>
          </w:tcPr>
          <w:p w14:paraId="69C7C2B7">
            <w:pPr>
              <w:adjustRightInd w:val="0"/>
              <w:snapToGrid w:val="0"/>
              <w:jc w:val="center"/>
              <w:rPr>
                <w:szCs w:val="21"/>
              </w:rPr>
            </w:pPr>
            <w:r>
              <w:rPr>
                <w:szCs w:val="21"/>
              </w:rPr>
              <w:t>建设项目</w:t>
            </w:r>
          </w:p>
          <w:p w14:paraId="2F85E064">
            <w:pPr>
              <w:adjustRightInd w:val="0"/>
              <w:snapToGrid w:val="0"/>
              <w:jc w:val="center"/>
              <w:rPr>
                <w:szCs w:val="21"/>
              </w:rPr>
            </w:pPr>
            <w:r>
              <w:rPr>
                <w:szCs w:val="21"/>
              </w:rPr>
              <w:t>申报情形</w:t>
            </w:r>
          </w:p>
        </w:tc>
        <w:tc>
          <w:tcPr>
            <w:tcW w:w="3328" w:type="dxa"/>
            <w:vAlign w:val="center"/>
          </w:tcPr>
          <w:p w14:paraId="3DFE241C">
            <w:pPr>
              <w:jc w:val="left"/>
              <w:rPr>
                <w:szCs w:val="21"/>
              </w:rPr>
            </w:pPr>
            <w:r>
              <w:rPr>
                <w:szCs w:val="21"/>
              </w:rPr>
              <w:sym w:font="Wingdings 2" w:char="0052"/>
            </w:r>
            <w:r>
              <w:rPr>
                <w:szCs w:val="21"/>
              </w:rPr>
              <w:t>首次申报项目</w:t>
            </w:r>
          </w:p>
          <w:p w14:paraId="59BC2076">
            <w:pPr>
              <w:jc w:val="left"/>
              <w:rPr>
                <w:szCs w:val="21"/>
              </w:rPr>
            </w:pPr>
            <w:r>
              <w:rPr>
                <w:szCs w:val="21"/>
              </w:rPr>
              <w:sym w:font="Wingdings 2" w:char="00A3"/>
            </w:r>
            <w:r>
              <w:rPr>
                <w:szCs w:val="21"/>
              </w:rPr>
              <w:t>不予批准后再次申报项目</w:t>
            </w:r>
          </w:p>
          <w:p w14:paraId="213623FD">
            <w:pPr>
              <w:jc w:val="left"/>
              <w:rPr>
                <w:szCs w:val="21"/>
              </w:rPr>
            </w:pPr>
            <w:r>
              <w:rPr>
                <w:szCs w:val="21"/>
              </w:rPr>
              <w:sym w:font="Wingdings 2" w:char="00A3"/>
            </w:r>
            <w:r>
              <w:rPr>
                <w:szCs w:val="21"/>
              </w:rPr>
              <w:t>超五年重新审核项目</w:t>
            </w:r>
          </w:p>
          <w:p w14:paraId="350F6193">
            <w:pPr>
              <w:jc w:val="left"/>
              <w:rPr>
                <w:szCs w:val="21"/>
              </w:rPr>
            </w:pPr>
            <w:r>
              <w:rPr>
                <w:szCs w:val="21"/>
              </w:rPr>
              <w:sym w:font="Wingdings 2" w:char="00A3"/>
            </w:r>
            <w:r>
              <w:rPr>
                <w:szCs w:val="21"/>
              </w:rPr>
              <w:t>重大变动重新报批项目</w:t>
            </w:r>
          </w:p>
        </w:tc>
      </w:tr>
      <w:tr w14:paraId="16838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56" w:type="dxa"/>
            <w:tcMar>
              <w:top w:w="16" w:type="dxa"/>
              <w:left w:w="16" w:type="dxa"/>
              <w:right w:w="16" w:type="dxa"/>
            </w:tcMar>
            <w:vAlign w:val="center"/>
          </w:tcPr>
          <w:p w14:paraId="0570B25D">
            <w:pPr>
              <w:adjustRightInd w:val="0"/>
              <w:snapToGrid w:val="0"/>
              <w:jc w:val="center"/>
              <w:rPr>
                <w:szCs w:val="21"/>
              </w:rPr>
            </w:pPr>
            <w:r>
              <w:rPr>
                <w:szCs w:val="21"/>
              </w:rPr>
              <w:t>项目审批（核准/备案）部门</w:t>
            </w:r>
          </w:p>
          <w:p w14:paraId="4F775D38">
            <w:pPr>
              <w:adjustRightInd w:val="0"/>
              <w:snapToGrid w:val="0"/>
              <w:jc w:val="center"/>
              <w:rPr>
                <w:szCs w:val="21"/>
              </w:rPr>
            </w:pPr>
            <w:r>
              <w:rPr>
                <w:szCs w:val="21"/>
              </w:rPr>
              <w:t>（选填）</w:t>
            </w:r>
          </w:p>
        </w:tc>
        <w:tc>
          <w:tcPr>
            <w:tcW w:w="2126" w:type="dxa"/>
            <w:vAlign w:val="center"/>
          </w:tcPr>
          <w:p w14:paraId="31401977">
            <w:pPr>
              <w:adjustRightInd w:val="0"/>
              <w:snapToGrid w:val="0"/>
              <w:jc w:val="center"/>
              <w:rPr>
                <w:szCs w:val="21"/>
              </w:rPr>
            </w:pPr>
            <w:r>
              <w:rPr>
                <w:szCs w:val="21"/>
              </w:rPr>
              <w:t>方山县行政审批服务管理局</w:t>
            </w:r>
          </w:p>
        </w:tc>
        <w:tc>
          <w:tcPr>
            <w:tcW w:w="1560" w:type="dxa"/>
            <w:vAlign w:val="center"/>
          </w:tcPr>
          <w:p w14:paraId="031DC832">
            <w:pPr>
              <w:adjustRightInd w:val="0"/>
              <w:snapToGrid w:val="0"/>
              <w:jc w:val="center"/>
              <w:rPr>
                <w:szCs w:val="21"/>
              </w:rPr>
            </w:pPr>
            <w:r>
              <w:rPr>
                <w:szCs w:val="21"/>
              </w:rPr>
              <w:t>项目审批（核准/备案）文号（选填）</w:t>
            </w:r>
          </w:p>
        </w:tc>
        <w:tc>
          <w:tcPr>
            <w:tcW w:w="3328" w:type="dxa"/>
            <w:vAlign w:val="center"/>
          </w:tcPr>
          <w:p w14:paraId="2895D11A">
            <w:pPr>
              <w:adjustRightInd w:val="0"/>
              <w:snapToGrid w:val="0"/>
              <w:jc w:val="center"/>
              <w:rPr>
                <w:szCs w:val="21"/>
              </w:rPr>
            </w:pPr>
            <w:r>
              <w:rPr>
                <w:szCs w:val="21"/>
              </w:rPr>
              <w:t>/</w:t>
            </w:r>
          </w:p>
        </w:tc>
      </w:tr>
      <w:tr w14:paraId="49233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4F2B721B">
            <w:pPr>
              <w:adjustRightInd w:val="0"/>
              <w:snapToGrid w:val="0"/>
              <w:jc w:val="center"/>
              <w:rPr>
                <w:szCs w:val="21"/>
              </w:rPr>
            </w:pPr>
            <w:r>
              <w:rPr>
                <w:szCs w:val="21"/>
              </w:rPr>
              <w:t>总投资（万元）</w:t>
            </w:r>
          </w:p>
        </w:tc>
        <w:tc>
          <w:tcPr>
            <w:tcW w:w="2126" w:type="dxa"/>
            <w:vAlign w:val="center"/>
          </w:tcPr>
          <w:p w14:paraId="50C55CFC">
            <w:pPr>
              <w:adjustRightInd w:val="0"/>
              <w:snapToGrid w:val="0"/>
              <w:jc w:val="center"/>
              <w:rPr>
                <w:szCs w:val="21"/>
              </w:rPr>
            </w:pPr>
            <w:r>
              <w:rPr>
                <w:szCs w:val="21"/>
              </w:rPr>
              <w:t>303</w:t>
            </w:r>
          </w:p>
        </w:tc>
        <w:tc>
          <w:tcPr>
            <w:tcW w:w="1560" w:type="dxa"/>
            <w:tcMar>
              <w:top w:w="16" w:type="dxa"/>
              <w:left w:w="16" w:type="dxa"/>
              <w:right w:w="16" w:type="dxa"/>
            </w:tcMar>
            <w:vAlign w:val="center"/>
          </w:tcPr>
          <w:p w14:paraId="3E8D0DF5">
            <w:pPr>
              <w:adjustRightInd w:val="0"/>
              <w:snapToGrid w:val="0"/>
              <w:jc w:val="center"/>
              <w:rPr>
                <w:szCs w:val="21"/>
              </w:rPr>
            </w:pPr>
            <w:r>
              <w:rPr>
                <w:szCs w:val="21"/>
              </w:rPr>
              <w:t>环保投资（万元）</w:t>
            </w:r>
          </w:p>
        </w:tc>
        <w:tc>
          <w:tcPr>
            <w:tcW w:w="3328" w:type="dxa"/>
            <w:vAlign w:val="center"/>
          </w:tcPr>
          <w:p w14:paraId="445D44BF">
            <w:pPr>
              <w:adjustRightInd w:val="0"/>
              <w:snapToGrid w:val="0"/>
              <w:jc w:val="center"/>
              <w:rPr>
                <w:szCs w:val="21"/>
              </w:rPr>
            </w:pPr>
            <w:r>
              <w:rPr>
                <w:rFonts w:hint="eastAsia"/>
                <w:szCs w:val="21"/>
              </w:rPr>
              <w:t>47.8</w:t>
            </w:r>
          </w:p>
        </w:tc>
      </w:tr>
      <w:tr w14:paraId="70A3B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680BDEE6">
            <w:pPr>
              <w:adjustRightInd w:val="0"/>
              <w:snapToGrid w:val="0"/>
              <w:jc w:val="center"/>
              <w:rPr>
                <w:szCs w:val="21"/>
              </w:rPr>
            </w:pPr>
            <w:r>
              <w:rPr>
                <w:szCs w:val="21"/>
              </w:rPr>
              <w:t>环保投资占比（%）</w:t>
            </w:r>
          </w:p>
        </w:tc>
        <w:tc>
          <w:tcPr>
            <w:tcW w:w="2126" w:type="dxa"/>
            <w:vAlign w:val="center"/>
          </w:tcPr>
          <w:p w14:paraId="2A731F08">
            <w:pPr>
              <w:adjustRightInd w:val="0"/>
              <w:snapToGrid w:val="0"/>
              <w:jc w:val="center"/>
              <w:rPr>
                <w:szCs w:val="21"/>
              </w:rPr>
            </w:pPr>
            <w:r>
              <w:rPr>
                <w:rFonts w:hint="eastAsia"/>
                <w:szCs w:val="21"/>
              </w:rPr>
              <w:t>15.8</w:t>
            </w:r>
          </w:p>
        </w:tc>
        <w:tc>
          <w:tcPr>
            <w:tcW w:w="1560" w:type="dxa"/>
            <w:tcMar>
              <w:top w:w="16" w:type="dxa"/>
              <w:left w:w="16" w:type="dxa"/>
              <w:right w:w="16" w:type="dxa"/>
            </w:tcMar>
            <w:vAlign w:val="center"/>
          </w:tcPr>
          <w:p w14:paraId="1D7A4AF4">
            <w:pPr>
              <w:adjustRightInd w:val="0"/>
              <w:snapToGrid w:val="0"/>
              <w:jc w:val="center"/>
              <w:rPr>
                <w:szCs w:val="21"/>
              </w:rPr>
            </w:pPr>
            <w:r>
              <w:rPr>
                <w:szCs w:val="21"/>
              </w:rPr>
              <w:t>施工工期</w:t>
            </w:r>
          </w:p>
        </w:tc>
        <w:tc>
          <w:tcPr>
            <w:tcW w:w="3328" w:type="dxa"/>
            <w:vAlign w:val="center"/>
          </w:tcPr>
          <w:p w14:paraId="779A2C55">
            <w:pPr>
              <w:adjustRightInd w:val="0"/>
              <w:snapToGrid w:val="0"/>
              <w:jc w:val="center"/>
              <w:rPr>
                <w:szCs w:val="21"/>
              </w:rPr>
            </w:pPr>
            <w:r>
              <w:rPr>
                <w:szCs w:val="21"/>
              </w:rPr>
              <w:t>6个月</w:t>
            </w:r>
          </w:p>
        </w:tc>
      </w:tr>
      <w:tr w14:paraId="45A00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14:paraId="5336F56D">
            <w:pPr>
              <w:adjustRightInd w:val="0"/>
              <w:snapToGrid w:val="0"/>
              <w:jc w:val="center"/>
              <w:rPr>
                <w:szCs w:val="21"/>
              </w:rPr>
            </w:pPr>
            <w:r>
              <w:rPr>
                <w:szCs w:val="21"/>
              </w:rPr>
              <w:t>是否开工建设</w:t>
            </w:r>
          </w:p>
        </w:tc>
        <w:tc>
          <w:tcPr>
            <w:tcW w:w="2126" w:type="dxa"/>
            <w:vAlign w:val="center"/>
          </w:tcPr>
          <w:p w14:paraId="7E724AF5">
            <w:pPr>
              <w:adjustRightInd w:val="0"/>
              <w:snapToGrid w:val="0"/>
              <w:jc w:val="left"/>
              <w:rPr>
                <w:szCs w:val="21"/>
              </w:rPr>
            </w:pPr>
            <w:r>
              <w:rPr>
                <w:szCs w:val="21"/>
              </w:rPr>
              <w:sym w:font="Wingdings 2" w:char="0052"/>
            </w:r>
            <w:r>
              <w:rPr>
                <w:szCs w:val="21"/>
              </w:rPr>
              <w:t>否</w:t>
            </w:r>
          </w:p>
          <w:p w14:paraId="01B29C95">
            <w:pPr>
              <w:adjustRightInd w:val="0"/>
              <w:snapToGrid w:val="0"/>
              <w:jc w:val="left"/>
              <w:rPr>
                <w:szCs w:val="21"/>
              </w:rPr>
            </w:pPr>
            <w:r>
              <w:rPr>
                <w:szCs w:val="21"/>
              </w:rPr>
              <w:sym w:font="Wingdings 2" w:char="00A3"/>
            </w:r>
            <w:r>
              <w:rPr>
                <w:rFonts w:hint="eastAsia"/>
                <w:szCs w:val="21"/>
              </w:rPr>
              <w:t xml:space="preserve"> </w:t>
            </w:r>
            <w:r>
              <w:rPr>
                <w:szCs w:val="21"/>
              </w:rPr>
              <w:t xml:space="preserve">是    </w:t>
            </w:r>
            <w:r>
              <w:rPr>
                <w:szCs w:val="21"/>
                <w:u w:val="single"/>
              </w:rPr>
              <w:t xml:space="preserve">                         </w:t>
            </w:r>
            <w:r>
              <w:rPr>
                <w:szCs w:val="21"/>
              </w:rPr>
              <w:t xml:space="preserve"> </w:t>
            </w:r>
          </w:p>
        </w:tc>
        <w:tc>
          <w:tcPr>
            <w:tcW w:w="1560" w:type="dxa"/>
            <w:tcMar>
              <w:top w:w="16" w:type="dxa"/>
              <w:left w:w="16" w:type="dxa"/>
              <w:right w:w="16" w:type="dxa"/>
            </w:tcMar>
            <w:vAlign w:val="center"/>
          </w:tcPr>
          <w:p w14:paraId="3C2DB21B">
            <w:pPr>
              <w:adjustRightInd w:val="0"/>
              <w:snapToGrid w:val="0"/>
              <w:jc w:val="center"/>
              <w:rPr>
                <w:spacing w:val="-6"/>
                <w:szCs w:val="21"/>
              </w:rPr>
            </w:pPr>
            <w:r>
              <w:rPr>
                <w:spacing w:val="-6"/>
                <w:szCs w:val="21"/>
              </w:rPr>
              <w:t>用地（用海）</w:t>
            </w:r>
          </w:p>
          <w:p w14:paraId="40169592">
            <w:pPr>
              <w:adjustRightInd w:val="0"/>
              <w:snapToGrid w:val="0"/>
              <w:jc w:val="center"/>
              <w:rPr>
                <w:szCs w:val="21"/>
              </w:rPr>
            </w:pPr>
            <w:r>
              <w:rPr>
                <w:spacing w:val="-6"/>
                <w:szCs w:val="21"/>
              </w:rPr>
              <w:t>面积（m</w:t>
            </w:r>
            <w:r>
              <w:rPr>
                <w:spacing w:val="-6"/>
                <w:szCs w:val="21"/>
                <w:vertAlign w:val="superscript"/>
              </w:rPr>
              <w:t>2</w:t>
            </w:r>
            <w:r>
              <w:rPr>
                <w:spacing w:val="-6"/>
                <w:szCs w:val="21"/>
              </w:rPr>
              <w:t>）</w:t>
            </w:r>
          </w:p>
        </w:tc>
        <w:tc>
          <w:tcPr>
            <w:tcW w:w="3328" w:type="dxa"/>
            <w:vAlign w:val="center"/>
          </w:tcPr>
          <w:p w14:paraId="3D74D1C3">
            <w:pPr>
              <w:adjustRightInd w:val="0"/>
              <w:snapToGrid w:val="0"/>
              <w:jc w:val="center"/>
              <w:rPr>
                <w:szCs w:val="21"/>
              </w:rPr>
            </w:pPr>
            <w:r>
              <w:rPr>
                <w:rFonts w:hint="eastAsia"/>
                <w:szCs w:val="21"/>
              </w:rPr>
              <w:t>22618</w:t>
            </w:r>
          </w:p>
        </w:tc>
      </w:tr>
      <w:tr w14:paraId="5701C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6" w:type="dxa"/>
            <w:vAlign w:val="center"/>
          </w:tcPr>
          <w:p w14:paraId="27A7764C">
            <w:pPr>
              <w:autoSpaceDE w:val="0"/>
              <w:autoSpaceDN w:val="0"/>
              <w:adjustRightInd w:val="0"/>
              <w:snapToGrid w:val="0"/>
              <w:jc w:val="center"/>
              <w:rPr>
                <w:kern w:val="0"/>
                <w:szCs w:val="21"/>
              </w:rPr>
            </w:pPr>
            <w:r>
              <w:rPr>
                <w:kern w:val="0"/>
                <w:szCs w:val="21"/>
              </w:rPr>
              <w:t>专项评价设置情况</w:t>
            </w:r>
          </w:p>
        </w:tc>
        <w:tc>
          <w:tcPr>
            <w:tcW w:w="7014" w:type="dxa"/>
            <w:gridSpan w:val="3"/>
            <w:vAlign w:val="center"/>
          </w:tcPr>
          <w:p w14:paraId="5E72039F">
            <w:pPr>
              <w:autoSpaceDE w:val="0"/>
              <w:autoSpaceDN w:val="0"/>
              <w:adjustRightInd w:val="0"/>
              <w:snapToGrid w:val="0"/>
              <w:jc w:val="center"/>
              <w:rPr>
                <w:kern w:val="0"/>
                <w:szCs w:val="21"/>
              </w:rPr>
            </w:pPr>
            <w:r>
              <w:rPr>
                <w:kern w:val="0"/>
                <w:szCs w:val="21"/>
              </w:rPr>
              <w:t>无</w:t>
            </w:r>
          </w:p>
        </w:tc>
      </w:tr>
      <w:tr w14:paraId="589C7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6" w:type="dxa"/>
            <w:vAlign w:val="center"/>
          </w:tcPr>
          <w:p w14:paraId="7A0577EF">
            <w:pPr>
              <w:autoSpaceDE w:val="0"/>
              <w:autoSpaceDN w:val="0"/>
              <w:adjustRightInd w:val="0"/>
              <w:snapToGrid w:val="0"/>
              <w:jc w:val="center"/>
              <w:rPr>
                <w:kern w:val="0"/>
                <w:szCs w:val="21"/>
              </w:rPr>
            </w:pPr>
            <w:r>
              <w:rPr>
                <w:szCs w:val="21"/>
              </w:rPr>
              <w:t>规划情况</w:t>
            </w:r>
          </w:p>
        </w:tc>
        <w:tc>
          <w:tcPr>
            <w:tcW w:w="7014" w:type="dxa"/>
            <w:gridSpan w:val="3"/>
            <w:vAlign w:val="center"/>
          </w:tcPr>
          <w:p w14:paraId="3ED6FC5E">
            <w:pPr>
              <w:autoSpaceDE w:val="0"/>
              <w:autoSpaceDN w:val="0"/>
              <w:adjustRightInd w:val="0"/>
              <w:snapToGrid w:val="0"/>
              <w:jc w:val="center"/>
              <w:rPr>
                <w:kern w:val="0"/>
                <w:szCs w:val="21"/>
              </w:rPr>
            </w:pPr>
            <w:r>
              <w:rPr>
                <w:kern w:val="0"/>
                <w:szCs w:val="21"/>
              </w:rPr>
              <w:t>无</w:t>
            </w:r>
          </w:p>
        </w:tc>
      </w:tr>
      <w:tr w14:paraId="3D64B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6" w:type="dxa"/>
            <w:vAlign w:val="center"/>
          </w:tcPr>
          <w:p w14:paraId="055075F7">
            <w:pPr>
              <w:adjustRightInd w:val="0"/>
              <w:snapToGrid w:val="0"/>
              <w:jc w:val="center"/>
              <w:rPr>
                <w:kern w:val="0"/>
                <w:szCs w:val="21"/>
              </w:rPr>
            </w:pPr>
            <w:r>
              <w:rPr>
                <w:szCs w:val="21"/>
              </w:rPr>
              <w:t>规划环境影响评价情况</w:t>
            </w:r>
          </w:p>
        </w:tc>
        <w:tc>
          <w:tcPr>
            <w:tcW w:w="7014" w:type="dxa"/>
            <w:gridSpan w:val="3"/>
            <w:vAlign w:val="center"/>
          </w:tcPr>
          <w:p w14:paraId="7ACA4923">
            <w:pPr>
              <w:autoSpaceDE w:val="0"/>
              <w:autoSpaceDN w:val="0"/>
              <w:adjustRightInd w:val="0"/>
              <w:snapToGrid w:val="0"/>
              <w:jc w:val="center"/>
              <w:rPr>
                <w:kern w:val="0"/>
                <w:szCs w:val="21"/>
              </w:rPr>
            </w:pPr>
            <w:r>
              <w:rPr>
                <w:kern w:val="0"/>
                <w:szCs w:val="21"/>
              </w:rPr>
              <w:t>无</w:t>
            </w:r>
          </w:p>
        </w:tc>
      </w:tr>
      <w:tr w14:paraId="2F27A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6" w:type="dxa"/>
            <w:vAlign w:val="center"/>
          </w:tcPr>
          <w:p w14:paraId="5CCE4AC7">
            <w:pPr>
              <w:autoSpaceDE w:val="0"/>
              <w:autoSpaceDN w:val="0"/>
              <w:adjustRightInd w:val="0"/>
              <w:snapToGrid w:val="0"/>
              <w:jc w:val="center"/>
              <w:rPr>
                <w:kern w:val="0"/>
                <w:szCs w:val="21"/>
              </w:rPr>
            </w:pPr>
            <w:r>
              <w:rPr>
                <w:kern w:val="0"/>
                <w:szCs w:val="21"/>
              </w:rPr>
              <w:t>规划及规划环境影响评价符合性分析</w:t>
            </w:r>
          </w:p>
        </w:tc>
        <w:tc>
          <w:tcPr>
            <w:tcW w:w="7014" w:type="dxa"/>
            <w:gridSpan w:val="3"/>
            <w:vAlign w:val="center"/>
          </w:tcPr>
          <w:p w14:paraId="71178A75">
            <w:pPr>
              <w:autoSpaceDE w:val="0"/>
              <w:autoSpaceDN w:val="0"/>
              <w:adjustRightInd w:val="0"/>
              <w:snapToGrid w:val="0"/>
              <w:jc w:val="center"/>
              <w:rPr>
                <w:kern w:val="0"/>
                <w:szCs w:val="21"/>
              </w:rPr>
            </w:pPr>
            <w:r>
              <w:rPr>
                <w:kern w:val="0"/>
                <w:szCs w:val="21"/>
              </w:rPr>
              <w:t>无</w:t>
            </w:r>
          </w:p>
        </w:tc>
      </w:tr>
    </w:tbl>
    <w:p w14:paraId="162CA5E9">
      <w:pPr>
        <w:spacing w:line="360" w:lineRule="auto"/>
        <w:outlineLvl w:val="0"/>
        <w:rPr>
          <w:rFonts w:eastAsia="黑体"/>
          <w:sz w:val="30"/>
        </w:rPr>
        <w:sectPr>
          <w:headerReference r:id="rId6" w:type="default"/>
          <w:footerReference r:id="rId7" w:type="default"/>
          <w:pgSz w:w="11906" w:h="16838"/>
          <w:pgMar w:top="1701" w:right="1531" w:bottom="1701" w:left="1531" w:header="851" w:footer="1077" w:gutter="0"/>
          <w:pgNumType w:fmt="numberInDash" w:start="1"/>
          <w:cols w:space="720" w:num="1"/>
          <w:docGrid w:linePitch="312" w:charSpace="0"/>
        </w:sectPr>
      </w:pPr>
    </w:p>
    <w:tbl>
      <w:tblPr>
        <w:tblStyle w:val="39"/>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9"/>
        <w:gridCol w:w="8431"/>
      </w:tblGrid>
      <w:tr w14:paraId="20B74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9" w:hRule="atLeast"/>
          <w:jc w:val="center"/>
        </w:trPr>
        <w:tc>
          <w:tcPr>
            <w:tcW w:w="439" w:type="dxa"/>
            <w:vAlign w:val="center"/>
          </w:tcPr>
          <w:p w14:paraId="0F1B1834">
            <w:pPr>
              <w:autoSpaceDE w:val="0"/>
              <w:autoSpaceDN w:val="0"/>
              <w:adjustRightInd w:val="0"/>
              <w:snapToGrid w:val="0"/>
              <w:jc w:val="center"/>
              <w:rPr>
                <w:rFonts w:hint="eastAsia" w:ascii="宋体" w:hAnsi="宋体" w:cs="宋体"/>
                <w:kern w:val="0"/>
                <w:sz w:val="24"/>
              </w:rPr>
            </w:pPr>
            <w:r>
              <w:rPr>
                <w:rFonts w:hint="eastAsia" w:ascii="宋体" w:hAnsi="宋体" w:cs="宋体"/>
                <w:kern w:val="0"/>
                <w:sz w:val="24"/>
              </w:rPr>
              <w:t>其他符合性分析</w:t>
            </w:r>
          </w:p>
        </w:tc>
        <w:tc>
          <w:tcPr>
            <w:tcW w:w="8431" w:type="dxa"/>
            <w:vAlign w:val="center"/>
          </w:tcPr>
          <w:p w14:paraId="1D7C3745">
            <w:pPr>
              <w:pStyle w:val="368"/>
              <w:spacing w:line="360" w:lineRule="auto"/>
              <w:ind w:firstLine="0" w:firstLineChars="0"/>
              <w:rPr>
                <w:bCs/>
                <w:sz w:val="24"/>
              </w:rPr>
            </w:pPr>
            <w:r>
              <w:rPr>
                <w:bCs/>
                <w:sz w:val="24"/>
              </w:rPr>
              <w:t>1.1“三线一单”符合性分析</w:t>
            </w:r>
          </w:p>
          <w:p w14:paraId="41610445">
            <w:pPr>
              <w:pStyle w:val="368"/>
              <w:spacing w:line="360" w:lineRule="auto"/>
              <w:ind w:firstLine="480"/>
              <w:rPr>
                <w:b w:val="0"/>
                <w:sz w:val="24"/>
              </w:rPr>
            </w:pPr>
            <w:r>
              <w:rPr>
                <w:b w:val="0"/>
                <w:sz w:val="24"/>
              </w:rPr>
              <w:t>根据生态环境部文件《关于以改善环境质量为核心加强环境影响评价管理的通知》（环环评</w:t>
            </w:r>
            <w:r>
              <w:rPr>
                <w:rFonts w:hint="eastAsia" w:ascii="宋体" w:hAnsi="宋体"/>
                <w:b w:val="0"/>
                <w:sz w:val="24"/>
              </w:rPr>
              <w:t>〔</w:t>
            </w:r>
            <w:r>
              <w:rPr>
                <w:b w:val="0"/>
                <w:sz w:val="24"/>
              </w:rPr>
              <w:t>2016</w:t>
            </w:r>
            <w:r>
              <w:rPr>
                <w:rFonts w:hint="eastAsia" w:ascii="宋体" w:hAnsi="宋体"/>
                <w:b w:val="0"/>
                <w:sz w:val="24"/>
              </w:rPr>
              <w:t>〕</w:t>
            </w:r>
            <w:r>
              <w:rPr>
                <w:b w:val="0"/>
                <w:sz w:val="24"/>
              </w:rPr>
              <w:t>150号），</w:t>
            </w:r>
            <w:r>
              <w:rPr>
                <w:rFonts w:hint="eastAsia"/>
                <w:b w:val="0"/>
                <w:sz w:val="24"/>
              </w:rPr>
              <w:t>“</w:t>
            </w:r>
            <w:r>
              <w:rPr>
                <w:b w:val="0"/>
                <w:sz w:val="24"/>
              </w:rPr>
              <w:t>三线一单</w:t>
            </w:r>
            <w:r>
              <w:rPr>
                <w:rFonts w:hint="eastAsia"/>
                <w:b w:val="0"/>
                <w:sz w:val="24"/>
              </w:rPr>
              <w:t>”</w:t>
            </w:r>
            <w:r>
              <w:rPr>
                <w:b w:val="0"/>
                <w:sz w:val="24"/>
              </w:rPr>
              <w:t>指的是</w:t>
            </w:r>
            <w:r>
              <w:rPr>
                <w:rFonts w:hint="eastAsia"/>
                <w:b w:val="0"/>
                <w:sz w:val="24"/>
              </w:rPr>
              <w:t>“</w:t>
            </w:r>
            <w:r>
              <w:rPr>
                <w:b w:val="0"/>
                <w:sz w:val="24"/>
              </w:rPr>
              <w:t>生态保护红线、环境质量底线、资源利用上线和环境准入负面清单</w:t>
            </w:r>
            <w:r>
              <w:rPr>
                <w:rFonts w:hint="eastAsia"/>
                <w:b w:val="0"/>
                <w:sz w:val="24"/>
              </w:rPr>
              <w:t>”</w:t>
            </w:r>
            <w:r>
              <w:rPr>
                <w:b w:val="0"/>
                <w:sz w:val="24"/>
              </w:rPr>
              <w:t>。</w:t>
            </w:r>
            <w:r>
              <w:rPr>
                <w:rFonts w:hint="eastAsia"/>
                <w:b w:val="0"/>
                <w:sz w:val="24"/>
              </w:rPr>
              <w:t>现就本项目与“三线一单”要求符合性分析如下。</w:t>
            </w:r>
          </w:p>
          <w:p w14:paraId="41ED995E">
            <w:pPr>
              <w:pStyle w:val="368"/>
              <w:spacing w:line="360" w:lineRule="auto"/>
              <w:ind w:firstLine="0" w:firstLineChars="0"/>
              <w:rPr>
                <w:bCs/>
                <w:sz w:val="24"/>
              </w:rPr>
            </w:pPr>
            <w:r>
              <w:rPr>
                <w:rFonts w:hint="eastAsia"/>
                <w:bCs/>
                <w:sz w:val="24"/>
              </w:rPr>
              <w:t>1.1.1</w:t>
            </w:r>
            <w:r>
              <w:rPr>
                <w:bCs/>
                <w:sz w:val="24"/>
              </w:rPr>
              <w:t>生态保护红线</w:t>
            </w:r>
          </w:p>
          <w:p w14:paraId="53217DDE">
            <w:pPr>
              <w:pStyle w:val="368"/>
              <w:spacing w:line="360" w:lineRule="auto"/>
              <w:ind w:firstLine="480"/>
              <w:rPr>
                <w:b w:val="0"/>
                <w:sz w:val="24"/>
              </w:rPr>
            </w:pPr>
            <w:r>
              <w:rPr>
                <w:b w:val="0"/>
                <w:sz w:val="24"/>
              </w:rPr>
              <w:t>2021年6月30日发布了《吕梁市人民政府关于印发吕梁市</w:t>
            </w:r>
            <w:r>
              <w:rPr>
                <w:rFonts w:hint="eastAsia"/>
                <w:b w:val="0"/>
                <w:sz w:val="24"/>
              </w:rPr>
              <w:t>“</w:t>
            </w:r>
            <w:r>
              <w:rPr>
                <w:b w:val="0"/>
                <w:sz w:val="24"/>
              </w:rPr>
              <w:t>三线一单</w:t>
            </w:r>
            <w:r>
              <w:rPr>
                <w:rFonts w:hint="eastAsia"/>
                <w:b w:val="0"/>
                <w:sz w:val="24"/>
              </w:rPr>
              <w:t>”</w:t>
            </w:r>
            <w:r>
              <w:rPr>
                <w:b w:val="0"/>
                <w:sz w:val="24"/>
              </w:rPr>
              <w:t>生态环境分区管控实施方案的通知》（吕政发</w:t>
            </w:r>
            <w:r>
              <w:rPr>
                <w:rFonts w:hint="eastAsia" w:ascii="宋体" w:hAnsi="宋体"/>
                <w:b w:val="0"/>
                <w:sz w:val="24"/>
              </w:rPr>
              <w:t>〔</w:t>
            </w:r>
            <w:r>
              <w:rPr>
                <w:b w:val="0"/>
                <w:sz w:val="24"/>
              </w:rPr>
              <w:t>2021</w:t>
            </w:r>
            <w:r>
              <w:rPr>
                <w:rFonts w:hint="eastAsia" w:ascii="宋体" w:hAnsi="宋体"/>
                <w:b w:val="0"/>
                <w:sz w:val="24"/>
              </w:rPr>
              <w:t>〕</w:t>
            </w:r>
            <w:r>
              <w:rPr>
                <w:b w:val="0"/>
                <w:sz w:val="24"/>
              </w:rPr>
              <w:t>5号）。根据吕梁市人民政府关于印发吕梁市</w:t>
            </w:r>
            <w:r>
              <w:rPr>
                <w:rFonts w:hint="eastAsia"/>
                <w:b w:val="0"/>
                <w:sz w:val="24"/>
              </w:rPr>
              <w:t>“</w:t>
            </w:r>
            <w:r>
              <w:rPr>
                <w:b w:val="0"/>
                <w:sz w:val="24"/>
              </w:rPr>
              <w:t>三线一单</w:t>
            </w:r>
            <w:r>
              <w:rPr>
                <w:rFonts w:hint="eastAsia"/>
                <w:b w:val="0"/>
                <w:sz w:val="24"/>
              </w:rPr>
              <w:t>”</w:t>
            </w:r>
            <w:r>
              <w:rPr>
                <w:b w:val="0"/>
                <w:sz w:val="24"/>
              </w:rPr>
              <w:t>生态环境分区管控实施方案的通知》（吕政发</w:t>
            </w:r>
            <w:r>
              <w:rPr>
                <w:rFonts w:hint="eastAsia" w:ascii="宋体" w:hAnsi="宋体"/>
                <w:b w:val="0"/>
                <w:sz w:val="24"/>
              </w:rPr>
              <w:t>〔</w:t>
            </w:r>
            <w:r>
              <w:rPr>
                <w:b w:val="0"/>
                <w:sz w:val="24"/>
              </w:rPr>
              <w:t>2021</w:t>
            </w:r>
            <w:r>
              <w:rPr>
                <w:rFonts w:hint="eastAsia" w:ascii="宋体" w:hAnsi="宋体"/>
                <w:b w:val="0"/>
                <w:sz w:val="24"/>
              </w:rPr>
              <w:t>〕</w:t>
            </w:r>
            <w:r>
              <w:rPr>
                <w:b w:val="0"/>
                <w:sz w:val="24"/>
              </w:rPr>
              <w:t>5号）</w:t>
            </w:r>
            <w:r>
              <w:rPr>
                <w:rFonts w:hint="eastAsia"/>
                <w:b w:val="0"/>
                <w:sz w:val="24"/>
              </w:rPr>
              <w:t>，</w:t>
            </w:r>
            <w:r>
              <w:rPr>
                <w:b w:val="0"/>
                <w:sz w:val="24"/>
              </w:rPr>
              <w:t>本项目位于</w:t>
            </w:r>
            <w:r>
              <w:rPr>
                <w:rFonts w:hint="eastAsia"/>
                <w:b w:val="0"/>
                <w:sz w:val="24"/>
              </w:rPr>
              <w:t>一般</w:t>
            </w:r>
            <w:r>
              <w:rPr>
                <w:b w:val="0"/>
                <w:sz w:val="24"/>
              </w:rPr>
              <w:t>管控单元，该单元的管控要求为：</w:t>
            </w:r>
            <w:r>
              <w:rPr>
                <w:rFonts w:hint="eastAsia"/>
                <w:b w:val="0"/>
                <w:sz w:val="24"/>
              </w:rPr>
              <w:t>主要落实生态环境保护基本要求，执行国家、山西省和我市相关产业准入、总量控制、排放标准等管理规定，推动区域生态环境质量持续改善。</w:t>
            </w:r>
            <w:r>
              <w:rPr>
                <w:b w:val="0"/>
                <w:sz w:val="24"/>
              </w:rPr>
              <w:t>吕梁市生态环境管控单元图</w:t>
            </w:r>
            <w:r>
              <w:rPr>
                <w:rFonts w:hint="eastAsia"/>
                <w:b w:val="0"/>
                <w:sz w:val="24"/>
              </w:rPr>
              <w:t>见附图</w:t>
            </w:r>
            <w:r>
              <w:rPr>
                <w:b w:val="0"/>
                <w:sz w:val="24"/>
              </w:rPr>
              <w:t>2</w:t>
            </w:r>
            <w:r>
              <w:rPr>
                <w:rFonts w:hint="eastAsia"/>
                <w:b w:val="0"/>
                <w:sz w:val="24"/>
              </w:rPr>
              <w:t>。</w:t>
            </w:r>
          </w:p>
          <w:p w14:paraId="46E69BDE">
            <w:pPr>
              <w:autoSpaceDE w:val="0"/>
              <w:autoSpaceDN w:val="0"/>
              <w:adjustRightInd w:val="0"/>
              <w:snapToGrid w:val="0"/>
              <w:spacing w:line="360" w:lineRule="auto"/>
              <w:ind w:firstLine="480" w:firstLineChars="200"/>
              <w:rPr>
                <w:sz w:val="24"/>
              </w:rPr>
            </w:pPr>
            <w:r>
              <w:rPr>
                <w:sz w:val="24"/>
              </w:rPr>
              <w:t>本项目厂址位于</w:t>
            </w:r>
            <w:r>
              <w:rPr>
                <w:rFonts w:hint="eastAsia"/>
                <w:sz w:val="24"/>
              </w:rPr>
              <w:t>山西省吕梁市方山县峪口镇呼家湾村</w:t>
            </w:r>
            <w:r>
              <w:rPr>
                <w:sz w:val="24"/>
              </w:rPr>
              <w:t>，</w:t>
            </w:r>
            <w:r>
              <w:rPr>
                <w:rFonts w:hint="eastAsia"/>
                <w:sz w:val="24"/>
              </w:rPr>
              <w:t>项目地理位置见附图1。</w:t>
            </w:r>
            <w:r>
              <w:rPr>
                <w:sz w:val="24"/>
              </w:rPr>
              <w:t>项目占地为</w:t>
            </w:r>
            <w:r>
              <w:rPr>
                <w:rFonts w:hint="eastAsia"/>
                <w:sz w:val="24"/>
              </w:rPr>
              <w:t>其他草地，</w:t>
            </w:r>
            <w:r>
              <w:rPr>
                <w:sz w:val="24"/>
              </w:rPr>
              <w:t>不属于重要水源涵养、生物多样性维护、水土保持等重要生态功能区，以及水土流失、土地沙化、石</w:t>
            </w:r>
            <w:r>
              <w:rPr>
                <w:rFonts w:hint="eastAsia"/>
                <w:sz w:val="24"/>
              </w:rPr>
              <w:t>漠化、盐渍化等生态环境敏感脆弱区。项目运营期大气污染物经治理后达标排放，生产工艺环节不用水，洗车废水循环利用不外排，生活污水排入化粪池定期清掏，固废合理处置，厂区占地范围处建构筑物和硬化区域外其他区域进行绿化美化。</w:t>
            </w:r>
          </w:p>
          <w:p w14:paraId="17F674E8">
            <w:pPr>
              <w:autoSpaceDE w:val="0"/>
              <w:autoSpaceDN w:val="0"/>
              <w:adjustRightInd w:val="0"/>
              <w:snapToGrid w:val="0"/>
              <w:spacing w:line="360" w:lineRule="auto"/>
              <w:ind w:firstLine="480" w:firstLineChars="200"/>
              <w:jc w:val="left"/>
              <w:rPr>
                <w:sz w:val="24"/>
              </w:rPr>
            </w:pPr>
            <w:r>
              <w:rPr>
                <w:rFonts w:hint="eastAsia"/>
                <w:sz w:val="24"/>
              </w:rPr>
              <w:t>因此，本项目建设不违背区域生态保护红线要求。</w:t>
            </w:r>
          </w:p>
          <w:p w14:paraId="64EFB947">
            <w:pPr>
              <w:autoSpaceDE w:val="0"/>
              <w:autoSpaceDN w:val="0"/>
              <w:adjustRightInd w:val="0"/>
              <w:snapToGrid w:val="0"/>
              <w:spacing w:line="360" w:lineRule="auto"/>
              <w:jc w:val="left"/>
              <w:rPr>
                <w:b/>
                <w:bCs/>
                <w:sz w:val="24"/>
              </w:rPr>
            </w:pPr>
            <w:r>
              <w:rPr>
                <w:rFonts w:hint="eastAsia"/>
                <w:b/>
                <w:bCs/>
                <w:sz w:val="24"/>
              </w:rPr>
              <w:t>1.1.2环境质量底线</w:t>
            </w:r>
          </w:p>
          <w:p w14:paraId="5BA3C031">
            <w:pPr>
              <w:autoSpaceDE w:val="0"/>
              <w:autoSpaceDN w:val="0"/>
              <w:adjustRightInd w:val="0"/>
              <w:snapToGrid w:val="0"/>
              <w:spacing w:line="360" w:lineRule="auto"/>
              <w:ind w:firstLine="480" w:firstLineChars="200"/>
              <w:rPr>
                <w:sz w:val="24"/>
              </w:rPr>
            </w:pPr>
            <w:r>
              <w:rPr>
                <w:rFonts w:hint="eastAsia"/>
                <w:sz w:val="24"/>
              </w:rPr>
              <w:t>本次评价收集了2023年方山县环境空气例行监测数据，S</w:t>
            </w:r>
            <w:r>
              <w:rPr>
                <w:sz w:val="24"/>
              </w:rPr>
              <w:t>O</w:t>
            </w:r>
            <w:r>
              <w:rPr>
                <w:sz w:val="24"/>
                <w:vertAlign w:val="subscript"/>
              </w:rPr>
              <w:t>2</w:t>
            </w:r>
            <w:r>
              <w:rPr>
                <w:rFonts w:hint="eastAsia"/>
                <w:sz w:val="24"/>
              </w:rPr>
              <w:t>、N</w:t>
            </w:r>
            <w:r>
              <w:rPr>
                <w:sz w:val="24"/>
              </w:rPr>
              <w:t>O</w:t>
            </w:r>
            <w:r>
              <w:rPr>
                <w:sz w:val="24"/>
                <w:vertAlign w:val="subscript"/>
              </w:rPr>
              <w:t>2</w:t>
            </w:r>
            <w:r>
              <w:rPr>
                <w:rFonts w:hint="eastAsia"/>
                <w:sz w:val="24"/>
              </w:rPr>
              <w:t>、P</w:t>
            </w:r>
            <w:r>
              <w:rPr>
                <w:sz w:val="24"/>
              </w:rPr>
              <w:t>M</w:t>
            </w:r>
            <w:r>
              <w:rPr>
                <w:sz w:val="24"/>
                <w:vertAlign w:val="subscript"/>
              </w:rPr>
              <w:t>10</w:t>
            </w:r>
            <w:r>
              <w:rPr>
                <w:rFonts w:hint="eastAsia"/>
                <w:sz w:val="24"/>
              </w:rPr>
              <w:t>、P</w:t>
            </w:r>
            <w:r>
              <w:rPr>
                <w:sz w:val="24"/>
              </w:rPr>
              <w:t>M</w:t>
            </w:r>
            <w:r>
              <w:rPr>
                <w:sz w:val="24"/>
                <w:vertAlign w:val="subscript"/>
              </w:rPr>
              <w:t>2.5</w:t>
            </w:r>
            <w:r>
              <w:rPr>
                <w:rFonts w:hint="eastAsia"/>
                <w:sz w:val="24"/>
              </w:rPr>
              <w:t>、C</w:t>
            </w:r>
            <w:r>
              <w:rPr>
                <w:sz w:val="24"/>
              </w:rPr>
              <w:t>O</w:t>
            </w:r>
            <w:r>
              <w:rPr>
                <w:rFonts w:hint="eastAsia"/>
                <w:sz w:val="24"/>
              </w:rPr>
              <w:t>、O</w:t>
            </w:r>
            <w:r>
              <w:rPr>
                <w:sz w:val="24"/>
                <w:vertAlign w:val="subscript"/>
              </w:rPr>
              <w:t>3</w:t>
            </w:r>
            <w:r>
              <w:rPr>
                <w:rFonts w:hint="eastAsia"/>
                <w:sz w:val="24"/>
              </w:rPr>
              <w:t>各项污染物浓度满足《环境空气质量标准（GB3095—2012）》表1中的二级标准限值，评价区属于达标区。</w:t>
            </w:r>
          </w:p>
          <w:p w14:paraId="34110B1E">
            <w:pPr>
              <w:autoSpaceDE w:val="0"/>
              <w:autoSpaceDN w:val="0"/>
              <w:adjustRightInd w:val="0"/>
              <w:snapToGrid w:val="0"/>
              <w:spacing w:line="360" w:lineRule="auto"/>
              <w:ind w:firstLine="480" w:firstLineChars="200"/>
              <w:rPr>
                <w:sz w:val="24"/>
              </w:rPr>
            </w:pPr>
            <w:r>
              <w:rPr>
                <w:rFonts w:hint="eastAsia"/>
                <w:sz w:val="24"/>
              </w:rPr>
              <w:t>距离本项目最近的地表水为项目西侧厂区西侧的湫水河支流湍水头沟，距离大约</w:t>
            </w:r>
            <w:r>
              <w:rPr>
                <w:sz w:val="24"/>
              </w:rPr>
              <w:t>4km</w:t>
            </w:r>
            <w:r>
              <w:rPr>
                <w:rFonts w:hint="eastAsia"/>
                <w:sz w:val="24"/>
              </w:rPr>
              <w:t>，本项目无废水外排，根据2024年6月吕梁市地表水环境质量报告，湫水河碛口监测断面水质</w:t>
            </w:r>
            <w:r>
              <w:rPr>
                <w:sz w:val="24"/>
              </w:rPr>
              <w:t>为Ⅳ类</w:t>
            </w:r>
            <w:r>
              <w:rPr>
                <w:rFonts w:hint="eastAsia"/>
                <w:sz w:val="24"/>
              </w:rPr>
              <w:t>。</w:t>
            </w:r>
          </w:p>
          <w:p w14:paraId="0CE44648">
            <w:pPr>
              <w:autoSpaceDE w:val="0"/>
              <w:autoSpaceDN w:val="0"/>
              <w:adjustRightInd w:val="0"/>
              <w:snapToGrid w:val="0"/>
              <w:spacing w:line="360" w:lineRule="auto"/>
              <w:ind w:firstLine="480" w:firstLineChars="200"/>
              <w:rPr>
                <w:sz w:val="24"/>
              </w:rPr>
            </w:pPr>
            <w:r>
              <w:rPr>
                <w:rFonts w:hint="eastAsia"/>
                <w:sz w:val="24"/>
              </w:rPr>
              <w:t>本项目所在区域声环境执行《声环境质量标准》（GB3096-2008）1类标准，项目周边50m范围内存在声环境敏感目标，声环境质量现状监测结果满足《声环境质量标准》（GB3096-2008）1类标准。</w:t>
            </w:r>
          </w:p>
          <w:p w14:paraId="2C68FD77">
            <w:pPr>
              <w:autoSpaceDE w:val="0"/>
              <w:autoSpaceDN w:val="0"/>
              <w:adjustRightInd w:val="0"/>
              <w:snapToGrid w:val="0"/>
              <w:spacing w:line="360" w:lineRule="auto"/>
              <w:ind w:firstLine="480" w:firstLineChars="200"/>
              <w:rPr>
                <w:sz w:val="24"/>
              </w:rPr>
            </w:pPr>
            <w:r>
              <w:rPr>
                <w:rFonts w:hint="eastAsia"/>
                <w:sz w:val="24"/>
              </w:rPr>
              <w:t>本项目无生产废水，废气经处理后达标排放、固废均得到合理处置。在采取本环评要求的措施合理处置各项污染物后，本项目建设对周边的影响较小，满足环境质量底线的要求。</w:t>
            </w:r>
          </w:p>
          <w:p w14:paraId="52D098BE">
            <w:pPr>
              <w:autoSpaceDE w:val="0"/>
              <w:autoSpaceDN w:val="0"/>
              <w:adjustRightInd w:val="0"/>
              <w:snapToGrid w:val="0"/>
              <w:spacing w:line="360" w:lineRule="auto"/>
              <w:rPr>
                <w:b/>
                <w:bCs/>
                <w:sz w:val="24"/>
              </w:rPr>
            </w:pPr>
            <w:r>
              <w:rPr>
                <w:rFonts w:hint="eastAsia"/>
                <w:b/>
                <w:bCs/>
                <w:sz w:val="24"/>
              </w:rPr>
              <w:t>1.1.3资源利用上线</w:t>
            </w:r>
          </w:p>
          <w:p w14:paraId="27809B0C">
            <w:pPr>
              <w:autoSpaceDE w:val="0"/>
              <w:autoSpaceDN w:val="0"/>
              <w:adjustRightInd w:val="0"/>
              <w:snapToGrid w:val="0"/>
              <w:spacing w:line="360" w:lineRule="auto"/>
              <w:ind w:firstLine="480" w:firstLineChars="200"/>
              <w:rPr>
                <w:bCs/>
                <w:color w:val="000000"/>
                <w:sz w:val="24"/>
              </w:rPr>
            </w:pPr>
            <w:r>
              <w:rPr>
                <w:rFonts w:hint="eastAsia"/>
                <w:sz w:val="24"/>
              </w:rPr>
              <w:t>本项目生产过程中所采用的生产工艺和设备成熟先进、资源能源消耗水平较低。污染控制措施有效，同时注重了废物的回收利用，降低了能耗、物耗，减少了污染物排放。</w:t>
            </w:r>
            <w:r>
              <w:rPr>
                <w:bCs/>
                <w:sz w:val="24"/>
              </w:rPr>
              <w:t>项目占地为</w:t>
            </w:r>
            <w:r>
              <w:rPr>
                <w:rFonts w:hint="eastAsia"/>
                <w:bCs/>
                <w:sz w:val="24"/>
              </w:rPr>
              <w:t>其他草地，用地面积</w:t>
            </w:r>
            <w:r>
              <w:rPr>
                <w:bCs/>
                <w:sz w:val="24"/>
              </w:rPr>
              <w:t>22618m</w:t>
            </w:r>
            <w:r>
              <w:rPr>
                <w:bCs/>
                <w:sz w:val="24"/>
                <w:vertAlign w:val="superscript"/>
              </w:rPr>
              <w:t>2</w:t>
            </w:r>
            <w:r>
              <w:rPr>
                <w:rFonts w:hint="eastAsia"/>
                <w:bCs/>
                <w:sz w:val="24"/>
              </w:rPr>
              <w:t>。</w:t>
            </w:r>
            <w:r>
              <w:rPr>
                <w:sz w:val="24"/>
              </w:rPr>
              <w:t>建设过程中所利用的资源主要为水资</w:t>
            </w:r>
            <w:r>
              <w:rPr>
                <w:color w:val="000000"/>
                <w:sz w:val="24"/>
              </w:rPr>
              <w:t>源</w:t>
            </w:r>
            <w:r>
              <w:rPr>
                <w:rFonts w:hint="eastAsia"/>
                <w:color w:val="000000"/>
                <w:sz w:val="24"/>
              </w:rPr>
              <w:t>和</w:t>
            </w:r>
            <w:r>
              <w:rPr>
                <w:color w:val="000000"/>
                <w:sz w:val="24"/>
              </w:rPr>
              <w:t>电，电为清洁能源。综上</w:t>
            </w:r>
            <w:r>
              <w:rPr>
                <w:rFonts w:hint="eastAsia"/>
                <w:color w:val="000000"/>
                <w:sz w:val="24"/>
              </w:rPr>
              <w:t>，</w:t>
            </w:r>
            <w:r>
              <w:rPr>
                <w:sz w:val="24"/>
              </w:rPr>
              <w:t>本项目的建设不违背资源利用上线的要求。</w:t>
            </w:r>
          </w:p>
          <w:p w14:paraId="0BC8F607">
            <w:pPr>
              <w:autoSpaceDE w:val="0"/>
              <w:autoSpaceDN w:val="0"/>
              <w:adjustRightInd w:val="0"/>
              <w:snapToGrid w:val="0"/>
              <w:spacing w:line="360" w:lineRule="auto"/>
              <w:rPr>
                <w:b/>
                <w:color w:val="000000"/>
                <w:sz w:val="24"/>
              </w:rPr>
            </w:pPr>
            <w:r>
              <w:rPr>
                <w:rFonts w:hint="eastAsia"/>
                <w:b/>
                <w:color w:val="000000"/>
                <w:sz w:val="24"/>
              </w:rPr>
              <w:t>1.1.4</w:t>
            </w:r>
            <w:r>
              <w:rPr>
                <w:b/>
                <w:color w:val="000000"/>
                <w:sz w:val="24"/>
              </w:rPr>
              <w:t>环境准入负面清单</w:t>
            </w:r>
          </w:p>
          <w:p w14:paraId="379315C7">
            <w:pPr>
              <w:autoSpaceDE w:val="0"/>
              <w:autoSpaceDN w:val="0"/>
              <w:adjustRightInd w:val="0"/>
              <w:snapToGrid w:val="0"/>
              <w:spacing w:line="360" w:lineRule="auto"/>
              <w:ind w:firstLine="480" w:firstLineChars="200"/>
              <w:jc w:val="left"/>
              <w:rPr>
                <w:rFonts w:hint="eastAsia" w:ascii="宋体" w:hAnsi="宋体" w:cs="宋体"/>
                <w:kern w:val="0"/>
                <w:szCs w:val="21"/>
              </w:rPr>
            </w:pPr>
            <w:r>
              <w:rPr>
                <w:rFonts w:hint="eastAsia"/>
                <w:sz w:val="24"/>
              </w:rPr>
              <w:t>根据本项目与</w:t>
            </w:r>
            <w:r>
              <w:rPr>
                <w:sz w:val="24"/>
              </w:rPr>
              <w:t>《吕梁市人民政府关于印发吕梁市</w:t>
            </w:r>
            <w:r>
              <w:rPr>
                <w:rFonts w:hint="eastAsia"/>
                <w:sz w:val="24"/>
              </w:rPr>
              <w:t>“</w:t>
            </w:r>
            <w:r>
              <w:rPr>
                <w:sz w:val="24"/>
              </w:rPr>
              <w:t>三线一单</w:t>
            </w:r>
            <w:r>
              <w:rPr>
                <w:rFonts w:hint="eastAsia"/>
                <w:sz w:val="24"/>
              </w:rPr>
              <w:t>”</w:t>
            </w:r>
            <w:r>
              <w:rPr>
                <w:sz w:val="24"/>
              </w:rPr>
              <w:t>生态环境分区管控实施方案的通知》（吕政发</w:t>
            </w:r>
            <w:r>
              <w:rPr>
                <w:rFonts w:hint="eastAsia" w:ascii="宋体" w:hAnsi="宋体"/>
                <w:sz w:val="24"/>
              </w:rPr>
              <w:t>〔</w:t>
            </w:r>
            <w:r>
              <w:rPr>
                <w:sz w:val="24"/>
              </w:rPr>
              <w:t>2021</w:t>
            </w:r>
            <w:r>
              <w:rPr>
                <w:rFonts w:hint="eastAsia" w:ascii="宋体" w:hAnsi="宋体"/>
                <w:sz w:val="24"/>
              </w:rPr>
              <w:t>〕</w:t>
            </w:r>
            <w:r>
              <w:rPr>
                <w:sz w:val="24"/>
              </w:rPr>
              <w:t>5号）中</w:t>
            </w:r>
            <w:r>
              <w:rPr>
                <w:rFonts w:hint="eastAsia"/>
                <w:sz w:val="24"/>
              </w:rPr>
              <w:t>“</w:t>
            </w:r>
            <w:r>
              <w:rPr>
                <w:sz w:val="24"/>
              </w:rPr>
              <w:t>山西省吕梁市区域空间生态环境评价暨</w:t>
            </w:r>
            <w:r>
              <w:rPr>
                <w:rFonts w:hint="eastAsia"/>
                <w:sz w:val="24"/>
              </w:rPr>
              <w:t>‘</w:t>
            </w:r>
            <w:r>
              <w:rPr>
                <w:sz w:val="24"/>
              </w:rPr>
              <w:t>三线一单</w:t>
            </w:r>
            <w:r>
              <w:rPr>
                <w:rFonts w:hint="eastAsia"/>
                <w:sz w:val="24"/>
              </w:rPr>
              <w:t>’</w:t>
            </w:r>
            <w:r>
              <w:rPr>
                <w:sz w:val="24"/>
              </w:rPr>
              <w:t>生态环境准入清单</w:t>
            </w:r>
            <w:r>
              <w:rPr>
                <w:rFonts w:hint="eastAsia"/>
                <w:sz w:val="24"/>
              </w:rPr>
              <w:t>”</w:t>
            </w:r>
            <w:r>
              <w:rPr>
                <w:sz w:val="24"/>
              </w:rPr>
              <w:t>的管控要求</w:t>
            </w:r>
            <w:r>
              <w:rPr>
                <w:rFonts w:hint="eastAsia"/>
                <w:sz w:val="24"/>
              </w:rPr>
              <w:t>（表1</w:t>
            </w:r>
            <w:r>
              <w:rPr>
                <w:sz w:val="24"/>
              </w:rPr>
              <w:t>-1</w:t>
            </w:r>
            <w:r>
              <w:rPr>
                <w:rFonts w:hint="eastAsia"/>
                <w:sz w:val="24"/>
              </w:rPr>
              <w:t>）符合性分析可知</w:t>
            </w:r>
            <w:r>
              <w:rPr>
                <w:sz w:val="24"/>
              </w:rPr>
              <w:t>，本项目建设不违背生态环境准入清单要求。</w:t>
            </w:r>
          </w:p>
        </w:tc>
      </w:tr>
    </w:tbl>
    <w:p w14:paraId="7193224B">
      <w:pPr>
        <w:pStyle w:val="34"/>
        <w:jc w:val="center"/>
        <w:outlineLvl w:val="0"/>
        <w:rPr>
          <w:rFonts w:hint="eastAsia" w:ascii="黑体" w:hAnsi="黑体" w:eastAsia="黑体"/>
          <w:snapToGrid w:val="0"/>
          <w:sz w:val="30"/>
          <w:szCs w:val="30"/>
        </w:rPr>
        <w:sectPr>
          <w:headerReference r:id="rId8" w:type="default"/>
          <w:pgSz w:w="11906" w:h="16838"/>
          <w:pgMar w:top="1701" w:right="1531" w:bottom="1701" w:left="1531" w:header="851" w:footer="851" w:gutter="0"/>
          <w:pgNumType w:fmt="numberInDash"/>
          <w:cols w:space="720" w:num="1"/>
          <w:docGrid w:linePitch="312" w:charSpace="0"/>
        </w:sectPr>
      </w:pPr>
    </w:p>
    <w:tbl>
      <w:tblPr>
        <w:tblStyle w:val="3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256"/>
      </w:tblGrid>
      <w:tr w14:paraId="6038B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74" w:hRule="atLeast"/>
        </w:trPr>
        <w:tc>
          <w:tcPr>
            <w:tcW w:w="392" w:type="dxa"/>
            <w:vAlign w:val="center"/>
          </w:tcPr>
          <w:p w14:paraId="6AD54364">
            <w:pPr>
              <w:autoSpaceDE w:val="0"/>
              <w:autoSpaceDN w:val="0"/>
              <w:adjustRightInd w:val="0"/>
              <w:snapToGrid w:val="0"/>
              <w:jc w:val="center"/>
              <w:rPr>
                <w:rFonts w:hint="eastAsia" w:ascii="宋体" w:hAnsi="宋体" w:cs="宋体"/>
                <w:kern w:val="0"/>
                <w:sz w:val="24"/>
              </w:rPr>
            </w:pPr>
            <w:r>
              <w:rPr>
                <w:rFonts w:hint="eastAsia" w:ascii="宋体" w:hAnsi="宋体" w:cs="宋体"/>
                <w:kern w:val="0"/>
                <w:sz w:val="24"/>
              </w:rPr>
              <w:t>其他符合性分析</w:t>
            </w:r>
          </w:p>
        </w:tc>
        <w:tc>
          <w:tcPr>
            <w:tcW w:w="13260" w:type="dxa"/>
            <w:vAlign w:val="center"/>
          </w:tcPr>
          <w:p w14:paraId="12874932">
            <w:pPr>
              <w:pStyle w:val="358"/>
              <w:spacing w:line="360" w:lineRule="auto"/>
              <w:jc w:val="center"/>
              <w:rPr>
                <w:rFonts w:ascii="Times New Roman" w:hAnsi="Times New Roman" w:cs="Times New Roman"/>
                <w:b/>
                <w:bCs/>
                <w:sz w:val="21"/>
                <w:szCs w:val="21"/>
              </w:rPr>
            </w:pPr>
            <w:r>
              <w:rPr>
                <w:rFonts w:ascii="Times New Roman" w:hAnsi="Times New Roman" w:cs="Times New Roman"/>
                <w:b/>
                <w:bCs/>
                <w:color w:val="auto"/>
                <w:sz w:val="21"/>
                <w:szCs w:val="21"/>
              </w:rPr>
              <w:t>表1-1 吕梁市生态环境总体管控要求</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8"/>
              <w:gridCol w:w="175"/>
              <w:gridCol w:w="712"/>
              <w:gridCol w:w="6911"/>
              <w:gridCol w:w="3165"/>
              <w:gridCol w:w="1560"/>
            </w:tblGrid>
            <w:tr w14:paraId="33ECF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50" w:type="dxa"/>
                  <w:gridSpan w:val="3"/>
                  <w:noWrap/>
                  <w:vAlign w:val="center"/>
                </w:tcPr>
                <w:p w14:paraId="6B0FABFF">
                  <w:pPr>
                    <w:jc w:val="center"/>
                    <w:rPr>
                      <w:szCs w:val="21"/>
                    </w:rPr>
                  </w:pPr>
                  <w:r>
                    <w:rPr>
                      <w:szCs w:val="21"/>
                    </w:rPr>
                    <w:t>管控类别</w:t>
                  </w:r>
                </w:p>
              </w:tc>
              <w:tc>
                <w:tcPr>
                  <w:tcW w:w="6789" w:type="dxa"/>
                  <w:noWrap/>
                  <w:vAlign w:val="center"/>
                </w:tcPr>
                <w:p w14:paraId="5346559D">
                  <w:pPr>
                    <w:jc w:val="center"/>
                    <w:rPr>
                      <w:szCs w:val="21"/>
                    </w:rPr>
                  </w:pPr>
                  <w:r>
                    <w:rPr>
                      <w:szCs w:val="21"/>
                    </w:rPr>
                    <w:t>总体管控要求</w:t>
                  </w:r>
                </w:p>
              </w:tc>
              <w:tc>
                <w:tcPr>
                  <w:tcW w:w="3109" w:type="dxa"/>
                  <w:noWrap/>
                  <w:vAlign w:val="center"/>
                </w:tcPr>
                <w:p w14:paraId="4C4F4B2A">
                  <w:pPr>
                    <w:jc w:val="center"/>
                    <w:rPr>
                      <w:szCs w:val="21"/>
                    </w:rPr>
                  </w:pPr>
                  <w:r>
                    <w:rPr>
                      <w:szCs w:val="21"/>
                    </w:rPr>
                    <w:t>本项目情况</w:t>
                  </w:r>
                </w:p>
              </w:tc>
              <w:tc>
                <w:tcPr>
                  <w:tcW w:w="1533" w:type="dxa"/>
                  <w:noWrap/>
                  <w:vAlign w:val="center"/>
                </w:tcPr>
                <w:p w14:paraId="19037003">
                  <w:pPr>
                    <w:jc w:val="center"/>
                    <w:rPr>
                      <w:szCs w:val="21"/>
                    </w:rPr>
                  </w:pPr>
                  <w:r>
                    <w:rPr>
                      <w:szCs w:val="21"/>
                    </w:rPr>
                    <w:t>符合性分析</w:t>
                  </w:r>
                </w:p>
              </w:tc>
            </w:tr>
            <w:tr w14:paraId="21D85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50" w:type="dxa"/>
                  <w:gridSpan w:val="3"/>
                  <w:vMerge w:val="restart"/>
                  <w:noWrap/>
                  <w:vAlign w:val="center"/>
                </w:tcPr>
                <w:p w14:paraId="23C75E1F">
                  <w:pPr>
                    <w:pStyle w:val="232"/>
                    <w:spacing w:line="240" w:lineRule="auto"/>
                    <w:ind w:firstLine="0" w:firstLineChars="0"/>
                    <w:jc w:val="center"/>
                    <w:rPr>
                      <w:rFonts w:ascii="Times New Roman"/>
                      <w:sz w:val="21"/>
                      <w:szCs w:val="21"/>
                    </w:rPr>
                  </w:pPr>
                  <w:r>
                    <w:rPr>
                      <w:rFonts w:ascii="Times New Roman"/>
                      <w:sz w:val="21"/>
                      <w:szCs w:val="21"/>
                    </w:rPr>
                    <w:t>吕梁市总体要求</w:t>
                  </w:r>
                </w:p>
              </w:tc>
              <w:tc>
                <w:tcPr>
                  <w:tcW w:w="6789" w:type="dxa"/>
                  <w:noWrap/>
                  <w:vAlign w:val="center"/>
                </w:tcPr>
                <w:p w14:paraId="32728854">
                  <w:pPr>
                    <w:keepNext/>
                    <w:numPr>
                      <w:ilvl w:val="0"/>
                      <w:numId w:val="1"/>
                    </w:numPr>
                    <w:overflowPunct w:val="0"/>
                    <w:snapToGrid w:val="0"/>
                    <w:rPr>
                      <w:szCs w:val="21"/>
                    </w:rPr>
                  </w:pPr>
                  <w:r>
                    <w:rPr>
                      <w:szCs w:val="21"/>
                    </w:rPr>
                    <w:t>优化调整产业结构，严格环境准入条件。合理确定产业布局，落实国家</w:t>
                  </w:r>
                  <w:r>
                    <w:rPr>
                      <w:rFonts w:hint="eastAsia"/>
                      <w:szCs w:val="21"/>
                    </w:rPr>
                    <w:t>“</w:t>
                  </w:r>
                  <w:r>
                    <w:rPr>
                      <w:szCs w:val="21"/>
                    </w:rPr>
                    <w:t>两高</w:t>
                  </w:r>
                  <w:r>
                    <w:rPr>
                      <w:rFonts w:hint="eastAsia"/>
                      <w:szCs w:val="21"/>
                    </w:rPr>
                    <w:t>”</w:t>
                  </w:r>
                  <w:r>
                    <w:rPr>
                      <w:szCs w:val="21"/>
                    </w:rPr>
                    <w:t>（高耗能、高污染）的资源型行业准入条件规定。禁止新建、扩建高排放、高污染、高耗能、高耗水、高风险项目。合理布局开发区、工业聚集区产业和规模，新建、改建、扩建项目充分考虑园区环境容量的承载能力，引导企业项目有序进入和退出园区。</w:t>
                  </w:r>
                </w:p>
                <w:p w14:paraId="6EE4D9C7">
                  <w:pPr>
                    <w:keepNext/>
                    <w:numPr>
                      <w:ilvl w:val="0"/>
                      <w:numId w:val="1"/>
                    </w:numPr>
                    <w:overflowPunct w:val="0"/>
                    <w:snapToGrid w:val="0"/>
                    <w:rPr>
                      <w:szCs w:val="21"/>
                    </w:rPr>
                  </w:pPr>
                  <w:r>
                    <w:rPr>
                      <w:szCs w:val="21"/>
                    </w:rPr>
                    <w:t>优化布局焦化产业，严格实施产能置换要求。新建产能置换焦化项目坚持向重点焦化园区和优势企业集中的原则，坚决杜绝分散布点和未批先建。必须在依法设立、环保基础设施齐全、经规划环评、允许建设焦化项目的园区建设。在环境容量允许的前提下，全市焦化产业主要向产业基础较好的平川地区和煤源优势明显的离柳矿区及周边区域布局，其它县不再布局新建产能置换焦化项目。</w:t>
                  </w:r>
                </w:p>
                <w:p w14:paraId="5C838A46">
                  <w:pPr>
                    <w:keepNext/>
                    <w:overflowPunct w:val="0"/>
                    <w:snapToGrid w:val="0"/>
                    <w:rPr>
                      <w:szCs w:val="21"/>
                    </w:rPr>
                  </w:pPr>
                  <w:r>
                    <w:rPr>
                      <w:szCs w:val="21"/>
                    </w:rPr>
                    <w:t>3、积极推进黄河流域生态功能保护和修复，强化流域水资源、水环境和水生态系统的统筹管理，衔接和落实“山西省黄河流域生态保护与高质量发展规划”相关要求。</w:t>
                  </w:r>
                </w:p>
                <w:p w14:paraId="3D5C7752">
                  <w:pPr>
                    <w:keepNext/>
                    <w:overflowPunct w:val="0"/>
                    <w:snapToGrid w:val="0"/>
                    <w:rPr>
                      <w:szCs w:val="21"/>
                    </w:rPr>
                  </w:pPr>
                  <w:r>
                    <w:rPr>
                      <w:szCs w:val="21"/>
                    </w:rPr>
                    <w:t>4、科学合理规划碳达峰路径，大力实施工业节能低碳改造和清洁生产，完善建筑领域和交通运输结构的绿色节能建设。加快推进能源结构优化，严格控制化石能源消费，积极推进清洁能源发展。建立健全绿色低碳循环发展经济体系，确保实现碳达峰、碳中和目标。</w:t>
                  </w:r>
                </w:p>
              </w:tc>
              <w:tc>
                <w:tcPr>
                  <w:tcW w:w="3109" w:type="dxa"/>
                  <w:noWrap/>
                  <w:vAlign w:val="center"/>
                </w:tcPr>
                <w:p w14:paraId="1F5A611A">
                  <w:pPr>
                    <w:keepNext/>
                    <w:overflowPunct w:val="0"/>
                    <w:snapToGrid w:val="0"/>
                    <w:rPr>
                      <w:szCs w:val="21"/>
                    </w:rPr>
                  </w:pPr>
                  <w:r>
                    <w:rPr>
                      <w:szCs w:val="21"/>
                    </w:rPr>
                    <w:t>本项目为</w:t>
                  </w:r>
                  <w:r>
                    <w:rPr>
                      <w:rFonts w:hint="eastAsia"/>
                      <w:szCs w:val="21"/>
                    </w:rPr>
                    <w:t>干粉砂浆生产项目</w:t>
                  </w:r>
                  <w:r>
                    <w:rPr>
                      <w:szCs w:val="21"/>
                    </w:rPr>
                    <w:t>，不属于两高项目。</w:t>
                  </w:r>
                  <w:r>
                    <w:rPr>
                      <w:rFonts w:hint="eastAsia"/>
                      <w:szCs w:val="21"/>
                    </w:rPr>
                    <w:t>厂界距离西侧湫水河支流湍水头沟大约</w:t>
                  </w:r>
                  <w:r>
                    <w:rPr>
                      <w:szCs w:val="21"/>
                    </w:rPr>
                    <w:t>4km</w:t>
                  </w:r>
                  <w:r>
                    <w:rPr>
                      <w:rFonts w:hint="eastAsia"/>
                      <w:szCs w:val="21"/>
                    </w:rPr>
                    <w:t>，</w:t>
                  </w:r>
                  <w:r>
                    <w:rPr>
                      <w:szCs w:val="21"/>
                    </w:rPr>
                    <w:t>不在其</w:t>
                  </w:r>
                  <w:r>
                    <w:rPr>
                      <w:rFonts w:hint="eastAsia"/>
                      <w:szCs w:val="21"/>
                    </w:rPr>
                    <w:t>生态保护范围内。</w:t>
                  </w:r>
                </w:p>
              </w:tc>
              <w:tc>
                <w:tcPr>
                  <w:tcW w:w="1533" w:type="dxa"/>
                  <w:noWrap/>
                  <w:vAlign w:val="center"/>
                </w:tcPr>
                <w:p w14:paraId="694BF3E4">
                  <w:pPr>
                    <w:keepNext/>
                    <w:overflowPunct w:val="0"/>
                    <w:snapToGrid w:val="0"/>
                    <w:jc w:val="center"/>
                    <w:rPr>
                      <w:szCs w:val="21"/>
                    </w:rPr>
                  </w:pPr>
                  <w:r>
                    <w:rPr>
                      <w:szCs w:val="21"/>
                    </w:rPr>
                    <w:t>符合</w:t>
                  </w:r>
                </w:p>
              </w:tc>
            </w:tr>
            <w:tr w14:paraId="4303D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50" w:type="dxa"/>
                  <w:gridSpan w:val="3"/>
                  <w:vMerge w:val="continue"/>
                  <w:noWrap/>
                  <w:vAlign w:val="center"/>
                </w:tcPr>
                <w:p w14:paraId="04683371">
                  <w:pPr>
                    <w:keepNext/>
                    <w:overflowPunct w:val="0"/>
                    <w:snapToGrid w:val="0"/>
                    <w:rPr>
                      <w:szCs w:val="21"/>
                    </w:rPr>
                  </w:pPr>
                </w:p>
              </w:tc>
              <w:tc>
                <w:tcPr>
                  <w:tcW w:w="6789" w:type="dxa"/>
                  <w:noWrap/>
                  <w:vAlign w:val="center"/>
                </w:tcPr>
                <w:p w14:paraId="2C8A1A51">
                  <w:pPr>
                    <w:keepNext/>
                    <w:numPr>
                      <w:ilvl w:val="0"/>
                      <w:numId w:val="2"/>
                    </w:numPr>
                    <w:overflowPunct w:val="0"/>
                    <w:snapToGrid w:val="0"/>
                    <w:rPr>
                      <w:szCs w:val="21"/>
                    </w:rPr>
                  </w:pPr>
                  <w:r>
                    <w:rPr>
                      <w:szCs w:val="21"/>
                    </w:rPr>
                    <w:t>大气环境重点落实大气污染防治相关行动计划、治理方案等；严格污染物区域削减及总量控制指标要求，未达标区域新建、改建和扩建项目主要污染物实施区域倍量削减；积极开展大气污染物超低排放改造，依法依规淘汰落后工艺、产品及设备。</w:t>
                  </w:r>
                </w:p>
                <w:p w14:paraId="49206BF8">
                  <w:pPr>
                    <w:keepNext/>
                    <w:numPr>
                      <w:ilvl w:val="0"/>
                      <w:numId w:val="2"/>
                    </w:numPr>
                    <w:overflowPunct w:val="0"/>
                    <w:snapToGrid w:val="0"/>
                    <w:rPr>
                      <w:szCs w:val="21"/>
                    </w:rPr>
                  </w:pPr>
                  <w:r>
                    <w:rPr>
                      <w:szCs w:val="21"/>
                    </w:rPr>
                    <w:t>水环境重点落实水污染防治相关行动计划、治理方案等；实施重点水污染物排放总量控制，所在流域控制单元环境质量未达标的实施重点水污染物倍量削减；工业企业、工业聚集区提高工业用水重复利用率，外排废水达到水污染物综合排放地方标准；加强城镇水污染防治，提高城市污水处理率和再生水利用率；优化调整排污口设置，强化工业园区水环境风险防控。</w:t>
                  </w:r>
                </w:p>
                <w:p w14:paraId="7BDADB10">
                  <w:pPr>
                    <w:keepNext/>
                    <w:numPr>
                      <w:ilvl w:val="0"/>
                      <w:numId w:val="2"/>
                    </w:numPr>
                    <w:overflowPunct w:val="0"/>
                    <w:snapToGrid w:val="0"/>
                    <w:rPr>
                      <w:szCs w:val="21"/>
                    </w:rPr>
                  </w:pPr>
                  <w:r>
                    <w:rPr>
                      <w:szCs w:val="21"/>
                    </w:rPr>
                    <w:t>自然保护区、风景名胜区、森林公园、湿地公园、地质公园、饮用水水源保护区、泉域等各类保护地严格执行相关法律法规保护要求。严格管控矿山开采行为，实施矿区生态修复和污染治理，重点落实黄河流域生态环境保护要求。</w:t>
                  </w:r>
                </w:p>
                <w:p w14:paraId="1612EA14">
                  <w:pPr>
                    <w:keepNext/>
                    <w:overflowPunct w:val="0"/>
                    <w:snapToGrid w:val="0"/>
                    <w:rPr>
                      <w:szCs w:val="21"/>
                    </w:rPr>
                  </w:pPr>
                  <w:r>
                    <w:rPr>
                      <w:szCs w:val="21"/>
                    </w:rPr>
                    <w:t>4强化工业企业风险管控。新建化工企业全部进入工业园区，合理布局生产装置及危险化学品仓储等设施，并划定环境防护距离。加强化工园区环境风险防控，建立和完善园区环境风险防控设施、应急救援体系和物资储备建设。</w:t>
                  </w:r>
                </w:p>
              </w:tc>
              <w:tc>
                <w:tcPr>
                  <w:tcW w:w="3109" w:type="dxa"/>
                  <w:noWrap/>
                  <w:vAlign w:val="center"/>
                </w:tcPr>
                <w:p w14:paraId="6EAABF14">
                  <w:pPr>
                    <w:keepNext/>
                    <w:overflowPunct w:val="0"/>
                    <w:snapToGrid w:val="0"/>
                    <w:rPr>
                      <w:szCs w:val="21"/>
                    </w:rPr>
                  </w:pPr>
                  <w:r>
                    <w:rPr>
                      <w:szCs w:val="21"/>
                    </w:rPr>
                    <w:t>本项目大气污染物经治理后达标排放，无生产废水</w:t>
                  </w:r>
                  <w:r>
                    <w:rPr>
                      <w:rFonts w:hint="eastAsia"/>
                      <w:szCs w:val="21"/>
                    </w:rPr>
                    <w:t>外排</w:t>
                  </w:r>
                  <w:r>
                    <w:rPr>
                      <w:szCs w:val="21"/>
                    </w:rPr>
                    <w:t>；本项目位于柳林泉域范围内，</w:t>
                  </w:r>
                  <w:r>
                    <w:rPr>
                      <w:rFonts w:hint="eastAsia"/>
                      <w:szCs w:val="21"/>
                    </w:rPr>
                    <w:t>不在柳林泉域一、二级保护范围内。</w:t>
                  </w:r>
                  <w:r>
                    <w:rPr>
                      <w:szCs w:val="21"/>
                    </w:rPr>
                    <w:t>项目建设不违背《吕梁市柳林泉域水资源保护条例》</w:t>
                  </w:r>
                  <w:r>
                    <w:rPr>
                      <w:rFonts w:hint="eastAsia"/>
                      <w:szCs w:val="21"/>
                    </w:rPr>
                    <w:t>相关要求。</w:t>
                  </w:r>
                </w:p>
              </w:tc>
              <w:tc>
                <w:tcPr>
                  <w:tcW w:w="1533" w:type="dxa"/>
                  <w:noWrap/>
                  <w:vAlign w:val="center"/>
                </w:tcPr>
                <w:p w14:paraId="27715CDA">
                  <w:pPr>
                    <w:keepNext/>
                    <w:overflowPunct w:val="0"/>
                    <w:snapToGrid w:val="0"/>
                    <w:jc w:val="center"/>
                    <w:rPr>
                      <w:szCs w:val="21"/>
                    </w:rPr>
                  </w:pPr>
                  <w:r>
                    <w:rPr>
                      <w:szCs w:val="21"/>
                    </w:rPr>
                    <w:t>符合</w:t>
                  </w:r>
                </w:p>
              </w:tc>
            </w:tr>
            <w:tr w14:paraId="01DE6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781" w:type="dxa"/>
                  <w:gridSpan w:val="6"/>
                  <w:noWrap/>
                  <w:vAlign w:val="center"/>
                </w:tcPr>
                <w:p w14:paraId="04746F4C">
                  <w:pPr>
                    <w:jc w:val="center"/>
                    <w:rPr>
                      <w:szCs w:val="21"/>
                    </w:rPr>
                  </w:pPr>
                  <w:r>
                    <w:rPr>
                      <w:szCs w:val="21"/>
                    </w:rPr>
                    <w:t>吕梁市生态环境总体准入清单</w:t>
                  </w:r>
                </w:p>
              </w:tc>
            </w:tr>
            <w:tr w14:paraId="60B37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51" w:type="dxa"/>
                  <w:gridSpan w:val="2"/>
                  <w:vMerge w:val="restart"/>
                  <w:noWrap/>
                  <w:vAlign w:val="center"/>
                </w:tcPr>
                <w:p w14:paraId="4C64E1FE">
                  <w:pPr>
                    <w:rPr>
                      <w:szCs w:val="21"/>
                    </w:rPr>
                  </w:pPr>
                  <w:r>
                    <w:rPr>
                      <w:szCs w:val="21"/>
                    </w:rPr>
                    <w:t>空间布局约束</w:t>
                  </w:r>
                </w:p>
              </w:tc>
              <w:tc>
                <w:tcPr>
                  <w:tcW w:w="699" w:type="dxa"/>
                  <w:vMerge w:val="restart"/>
                  <w:noWrap/>
                  <w:vAlign w:val="center"/>
                </w:tcPr>
                <w:p w14:paraId="553EA41E">
                  <w:pPr>
                    <w:rPr>
                      <w:szCs w:val="21"/>
                    </w:rPr>
                  </w:pPr>
                  <w:r>
                    <w:rPr>
                      <w:szCs w:val="21"/>
                    </w:rPr>
                    <w:t>禁止开发建设活动的要求</w:t>
                  </w:r>
                </w:p>
              </w:tc>
              <w:tc>
                <w:tcPr>
                  <w:tcW w:w="6789" w:type="dxa"/>
                  <w:noWrap/>
                  <w:vAlign w:val="center"/>
                </w:tcPr>
                <w:p w14:paraId="5F2AF162">
                  <w:pPr>
                    <w:rPr>
                      <w:szCs w:val="21"/>
                    </w:rPr>
                  </w:pPr>
                  <w:r>
                    <w:rPr>
                      <w:szCs w:val="21"/>
                    </w:rPr>
                    <w:t>1、在河道管理范围内，禁止从事下列活动：（1）建设或者弃置妨碍行洪的建筑物、构筑物；（2）设置拦河渔具；（3）倾倒、堆放、掩埋矿渣、石渣、煤灰、垃圾；（4）清洗装贮过油类或者有毒污染物的车辆、容器；（5）超标排放污水；（6）影响河势稳定、危害河岸堤防安全、妨碍河道行洪的其他活动。</w:t>
                  </w:r>
                </w:p>
                <w:p w14:paraId="0D7B1851">
                  <w:pPr>
                    <w:rPr>
                      <w:szCs w:val="21"/>
                    </w:rPr>
                  </w:pPr>
                  <w:r>
                    <w:rPr>
                      <w:szCs w:val="21"/>
                    </w:rPr>
                    <w:t>2、在行洪河道内，禁止种植阻碍行洪的高秆作物、林木（堤防防护林、河道防浪林除外）。</w:t>
                  </w:r>
                </w:p>
                <w:p w14:paraId="46609B7D">
                  <w:pPr>
                    <w:rPr>
                      <w:szCs w:val="21"/>
                    </w:rPr>
                  </w:pPr>
                  <w:r>
                    <w:rPr>
                      <w:szCs w:val="21"/>
                    </w:rPr>
                    <w:t>3、在河道水面，禁止布设妨碍行洪、影响水环境的光能风能发电、餐饮娱乐、旅游等设施。</w:t>
                  </w:r>
                </w:p>
                <w:p w14:paraId="0339EFDE">
                  <w:pPr>
                    <w:rPr>
                      <w:szCs w:val="21"/>
                    </w:rPr>
                  </w:pPr>
                  <w:r>
                    <w:rPr>
                      <w:szCs w:val="21"/>
                    </w:rPr>
                    <w:t>4、不得擅自围垦围占河道、围库（湖）造地、围占水库（湖）水域和人工水道。</w:t>
                  </w:r>
                </w:p>
                <w:p w14:paraId="60B3C8E0">
                  <w:pPr>
                    <w:rPr>
                      <w:szCs w:val="21"/>
                    </w:rPr>
                  </w:pPr>
                  <w:r>
                    <w:rPr>
                      <w:szCs w:val="21"/>
                    </w:rPr>
                    <w:t>5、在堤防和护堤地，禁止建房、安装设施（河道和水工程管理设施除外）、放牧、开渠、打井、耕种、挖窖、葬坟、晒粮、存放物料（防汛物料除外）、开采地下资源、考古发掘以及开展集市贸易活动。</w:t>
                  </w:r>
                </w:p>
                <w:p w14:paraId="6C2E202D">
                  <w:pPr>
                    <w:rPr>
                      <w:szCs w:val="21"/>
                    </w:rPr>
                  </w:pPr>
                  <w:r>
                    <w:rPr>
                      <w:szCs w:val="21"/>
                    </w:rPr>
                    <w:t>6、在堤防保护范围内，禁止从事危害堤防安全的活动。</w:t>
                  </w:r>
                </w:p>
                <w:p w14:paraId="40955748">
                  <w:pPr>
                    <w:rPr>
                      <w:szCs w:val="21"/>
                    </w:rPr>
                  </w:pPr>
                  <w:r>
                    <w:rPr>
                      <w:szCs w:val="21"/>
                    </w:rPr>
                    <w:t>7、护堤护岸林木，由河道管理单位组织营造和管理，其他任何单位和个人不得擅自砍伐、侵占或者破坏。</w:t>
                  </w:r>
                </w:p>
                <w:p w14:paraId="3C424597">
                  <w:pPr>
                    <w:rPr>
                      <w:szCs w:val="21"/>
                    </w:rPr>
                  </w:pPr>
                  <w:r>
                    <w:rPr>
                      <w:szCs w:val="21"/>
                    </w:rPr>
                    <w:t>8、未经依法批准，不得在河道水系内填堵、缩减或者废除原有河道沟叉、贮水湖塘洼淀和废除原有防洪围堤，不得调整河道水系。</w:t>
                  </w:r>
                </w:p>
                <w:p w14:paraId="557482ED">
                  <w:pPr>
                    <w:rPr>
                      <w:szCs w:val="21"/>
                    </w:rPr>
                  </w:pPr>
                  <w:r>
                    <w:rPr>
                      <w:szCs w:val="21"/>
                    </w:rPr>
                    <w:t>9、河道滩地不得作为基本农田或者占补平衡用地。</w:t>
                  </w:r>
                </w:p>
                <w:p w14:paraId="71CFAC77">
                  <w:pPr>
                    <w:rPr>
                      <w:szCs w:val="21"/>
                    </w:rPr>
                  </w:pPr>
                  <w:r>
                    <w:rPr>
                      <w:szCs w:val="21"/>
                    </w:rPr>
                    <w:t>10、河道岸线不得擅自占用。</w:t>
                  </w:r>
                </w:p>
                <w:p w14:paraId="4718406D">
                  <w:pPr>
                    <w:rPr>
                      <w:szCs w:val="21"/>
                    </w:rPr>
                  </w:pPr>
                  <w:r>
                    <w:rPr>
                      <w:szCs w:val="21"/>
                    </w:rPr>
                    <w:t>11、山区河道易发山体崩塌、滑坡、泥石流等地质灾害的河段，禁止从事开山采石、采矿、开荒等危及山体稳定的活动。</w:t>
                  </w:r>
                </w:p>
                <w:p w14:paraId="086C5E5B">
                  <w:pPr>
                    <w:rPr>
                      <w:szCs w:val="21"/>
                    </w:rPr>
                  </w:pPr>
                  <w:r>
                    <w:rPr>
                      <w:szCs w:val="21"/>
                    </w:rPr>
                    <w:t>12、禁止损毁、侵占堤防、护岸、闸坝等水工程建筑物和防汛、水文、水工观测、通信照明等设施。</w:t>
                  </w:r>
                </w:p>
              </w:tc>
              <w:tc>
                <w:tcPr>
                  <w:tcW w:w="3109" w:type="dxa"/>
                  <w:vAlign w:val="center"/>
                </w:tcPr>
                <w:p w14:paraId="406C8AD9">
                  <w:pPr>
                    <w:rPr>
                      <w:color w:val="FF0000"/>
                      <w:szCs w:val="21"/>
                    </w:rPr>
                  </w:pPr>
                  <w:r>
                    <w:rPr>
                      <w:rFonts w:hint="eastAsia"/>
                      <w:szCs w:val="21"/>
                    </w:rPr>
                    <w:t>本项目厂界距离西侧湫水河支流湍水头沟大约</w:t>
                  </w:r>
                  <w:r>
                    <w:rPr>
                      <w:szCs w:val="21"/>
                    </w:rPr>
                    <w:t>4km</w:t>
                  </w:r>
                  <w:r>
                    <w:rPr>
                      <w:rFonts w:hint="eastAsia"/>
                      <w:szCs w:val="21"/>
                    </w:rPr>
                    <w:t>，不在其管理范围。</w:t>
                  </w:r>
                </w:p>
              </w:tc>
              <w:tc>
                <w:tcPr>
                  <w:tcW w:w="1533" w:type="dxa"/>
                  <w:vAlign w:val="center"/>
                </w:tcPr>
                <w:p w14:paraId="1F176CBE">
                  <w:pPr>
                    <w:jc w:val="center"/>
                    <w:rPr>
                      <w:szCs w:val="21"/>
                    </w:rPr>
                  </w:pPr>
                  <w:r>
                    <w:rPr>
                      <w:szCs w:val="21"/>
                    </w:rPr>
                    <w:t>符合</w:t>
                  </w:r>
                </w:p>
              </w:tc>
            </w:tr>
            <w:tr w14:paraId="539BD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0" w:hRule="atLeast"/>
              </w:trPr>
              <w:tc>
                <w:tcPr>
                  <w:tcW w:w="651" w:type="dxa"/>
                  <w:gridSpan w:val="2"/>
                  <w:vMerge w:val="continue"/>
                  <w:noWrap/>
                  <w:vAlign w:val="center"/>
                </w:tcPr>
                <w:p w14:paraId="60718901">
                  <w:pPr>
                    <w:rPr>
                      <w:szCs w:val="21"/>
                    </w:rPr>
                  </w:pPr>
                </w:p>
              </w:tc>
              <w:tc>
                <w:tcPr>
                  <w:tcW w:w="699" w:type="dxa"/>
                  <w:vMerge w:val="continue"/>
                  <w:noWrap/>
                  <w:vAlign w:val="center"/>
                </w:tcPr>
                <w:p w14:paraId="7EA1C905">
                  <w:pPr>
                    <w:rPr>
                      <w:szCs w:val="21"/>
                    </w:rPr>
                  </w:pPr>
                </w:p>
              </w:tc>
              <w:tc>
                <w:tcPr>
                  <w:tcW w:w="6789" w:type="dxa"/>
                  <w:noWrap/>
                  <w:vAlign w:val="center"/>
                </w:tcPr>
                <w:p w14:paraId="1FA9C6F8">
                  <w:pPr>
                    <w:rPr>
                      <w:szCs w:val="21"/>
                    </w:rPr>
                  </w:pPr>
                  <w:r>
                    <w:rPr>
                      <w:szCs w:val="21"/>
                    </w:rPr>
                    <w:t>1、柳林泉域一级保护区内，禁止从事下列活动：（1）新建、改建、扩建与供水设施和保护水源无关的建设项目；（2）擅自挖泉、截流、引水；（3）将不同含水层的地下水混合开采；（4）新开凿用于农村生活饮用水以外的岩溶水井；（5）矿井直接排放岩溶水；（6）倾倒、排放工业废渣和城市生活垃圾、污水及其他废弃物；（7）衬砌封闭河道底板；（8）在泉水出露带进行采煤、开矿、开山采石和兴建地下工程。</w:t>
                  </w:r>
                </w:p>
                <w:p w14:paraId="4F42DF33">
                  <w:pPr>
                    <w:rPr>
                      <w:szCs w:val="21"/>
                    </w:rPr>
                  </w:pPr>
                  <w:r>
                    <w:rPr>
                      <w:szCs w:val="21"/>
                    </w:rPr>
                    <w:t>2、柳林泉域二级保护区内，禁止从事下列活动：（1）新建、改建、扩建耗水量大或者对水资源有污染的建设项目；（2）衬砌封闭河道底板；（3）利用河道、渗坑、渗井、裂隙等排放污水和其他有害废物；（4）利用透水层储存石油、天然气、放射性物质、有害有毒化工原料、农药；（5）建设城市垃圾、粪便和易溶、有害有毒废弃物堆放场。</w:t>
                  </w:r>
                </w:p>
                <w:p w14:paraId="53798FD4">
                  <w:pPr>
                    <w:rPr>
                      <w:szCs w:val="21"/>
                    </w:rPr>
                  </w:pPr>
                  <w:r>
                    <w:rPr>
                      <w:szCs w:val="21"/>
                    </w:rPr>
                    <w:t>3、在柳林泉域一、二级保护区外的其他保护区内，禁止从事下列活动：（1）利用渗坑、渗井、溶洞、废弃钻孔等排放工业废水、城市生活污水，倾倒污物、废渣和城市生活垃圾；（2）对不同含水层地下水混合开采。</w:t>
                  </w:r>
                </w:p>
                <w:p w14:paraId="798F8BDB">
                  <w:pPr>
                    <w:rPr>
                      <w:szCs w:val="21"/>
                    </w:rPr>
                  </w:pPr>
                  <w:r>
                    <w:rPr>
                      <w:szCs w:val="21"/>
                    </w:rPr>
                    <w:t>4、在柳林泉域地面标高低于805米的区域内，严禁新开凿岩溶地下水井。</w:t>
                  </w:r>
                </w:p>
              </w:tc>
              <w:tc>
                <w:tcPr>
                  <w:tcW w:w="3109" w:type="dxa"/>
                  <w:vAlign w:val="center"/>
                </w:tcPr>
                <w:p w14:paraId="12F55A94">
                  <w:pPr>
                    <w:rPr>
                      <w:szCs w:val="21"/>
                    </w:rPr>
                  </w:pPr>
                  <w:r>
                    <w:rPr>
                      <w:szCs w:val="21"/>
                    </w:rPr>
                    <w:t>本项目位于柳林泉域范围内，</w:t>
                  </w:r>
                  <w:r>
                    <w:rPr>
                      <w:rFonts w:hint="eastAsia"/>
                      <w:szCs w:val="21"/>
                    </w:rPr>
                    <w:t>不在柳林泉域一、二级保护范围内。</w:t>
                  </w:r>
                </w:p>
              </w:tc>
              <w:tc>
                <w:tcPr>
                  <w:tcW w:w="1533" w:type="dxa"/>
                  <w:vAlign w:val="center"/>
                </w:tcPr>
                <w:p w14:paraId="69A0A9B8">
                  <w:pPr>
                    <w:jc w:val="center"/>
                    <w:rPr>
                      <w:szCs w:val="21"/>
                    </w:rPr>
                  </w:pPr>
                  <w:r>
                    <w:rPr>
                      <w:szCs w:val="21"/>
                    </w:rPr>
                    <w:t>符合</w:t>
                  </w:r>
                </w:p>
              </w:tc>
            </w:tr>
            <w:tr w14:paraId="0CB35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6" w:hRule="atLeast"/>
              </w:trPr>
              <w:tc>
                <w:tcPr>
                  <w:tcW w:w="1350" w:type="dxa"/>
                  <w:gridSpan w:val="3"/>
                  <w:noWrap/>
                  <w:vAlign w:val="center"/>
                </w:tcPr>
                <w:p w14:paraId="1D6305C1">
                  <w:pPr>
                    <w:jc w:val="center"/>
                    <w:rPr>
                      <w:szCs w:val="21"/>
                    </w:rPr>
                  </w:pPr>
                  <w:r>
                    <w:rPr>
                      <w:szCs w:val="21"/>
                    </w:rPr>
                    <w:t>污染物排放管控</w:t>
                  </w:r>
                </w:p>
              </w:tc>
              <w:tc>
                <w:tcPr>
                  <w:tcW w:w="6789" w:type="dxa"/>
                  <w:noWrap/>
                  <w:vAlign w:val="center"/>
                </w:tcPr>
                <w:p w14:paraId="7AE088A3">
                  <w:pPr>
                    <w:numPr>
                      <w:ilvl w:val="0"/>
                      <w:numId w:val="3"/>
                    </w:numPr>
                    <w:autoSpaceDE w:val="0"/>
                    <w:autoSpaceDN w:val="0"/>
                    <w:adjustRightInd w:val="0"/>
                    <w:rPr>
                      <w:szCs w:val="21"/>
                    </w:rPr>
                  </w:pPr>
                  <w:r>
                    <w:rPr>
                      <w:szCs w:val="21"/>
                    </w:rPr>
                    <w:t>工业企业按照有关规定设置大气污染物排放口及其标志、永久性监测点位、采样监测平台，安装和使用自动监测设备，配合生态环境主管部门的实时监督监测。</w:t>
                  </w:r>
                </w:p>
                <w:p w14:paraId="12E6D904">
                  <w:pPr>
                    <w:numPr>
                      <w:ilvl w:val="0"/>
                      <w:numId w:val="3"/>
                    </w:numPr>
                    <w:autoSpaceDE w:val="0"/>
                    <w:autoSpaceDN w:val="0"/>
                    <w:adjustRightInd w:val="0"/>
                    <w:rPr>
                      <w:szCs w:val="21"/>
                    </w:rPr>
                  </w:pPr>
                  <w:r>
                    <w:rPr>
                      <w:szCs w:val="21"/>
                    </w:rPr>
                    <w:t>重点污染企业采用清洁生产工艺，配套建设除尘、脱硫、脱硝等装置，或者采取技术改造等其他控制大气污染物排放的措施。</w:t>
                  </w:r>
                </w:p>
                <w:p w14:paraId="3D203569">
                  <w:pPr>
                    <w:numPr>
                      <w:ilvl w:val="0"/>
                      <w:numId w:val="3"/>
                    </w:numPr>
                    <w:autoSpaceDE w:val="0"/>
                    <w:autoSpaceDN w:val="0"/>
                    <w:adjustRightInd w:val="0"/>
                    <w:rPr>
                      <w:szCs w:val="21"/>
                    </w:rPr>
                  </w:pPr>
                  <w:r>
                    <w:rPr>
                      <w:szCs w:val="21"/>
                    </w:rPr>
                    <w:t>在市、县（市、区）人民政府启动重污染天气应急预案后，工业企业及时启动重污染天气应急响应操作方案，落实应急减排措施。</w:t>
                  </w:r>
                </w:p>
                <w:p w14:paraId="17ADD783">
                  <w:pPr>
                    <w:numPr>
                      <w:ilvl w:val="0"/>
                      <w:numId w:val="3"/>
                    </w:numPr>
                    <w:autoSpaceDE w:val="0"/>
                    <w:autoSpaceDN w:val="0"/>
                    <w:adjustRightInd w:val="0"/>
                    <w:rPr>
                      <w:szCs w:val="21"/>
                    </w:rPr>
                  </w:pPr>
                  <w:r>
                    <w:rPr>
                      <w:szCs w:val="21"/>
                    </w:rPr>
                    <w:t>在重污染天气集中出现的季节，严格执行市、县（市、区）人民政府组织实施的错峰生产、施工、运输的规定。</w:t>
                  </w:r>
                </w:p>
                <w:p w14:paraId="03317251">
                  <w:pPr>
                    <w:numPr>
                      <w:ilvl w:val="0"/>
                      <w:numId w:val="3"/>
                    </w:numPr>
                    <w:autoSpaceDE w:val="0"/>
                    <w:autoSpaceDN w:val="0"/>
                    <w:adjustRightInd w:val="0"/>
                    <w:rPr>
                      <w:szCs w:val="21"/>
                    </w:rPr>
                  </w:pPr>
                  <w:r>
                    <w:rPr>
                      <w:szCs w:val="21"/>
                    </w:rPr>
                    <w:t>储油储气库、加油加气站及油罐车、气罐车应当安装油气回收设施并保持正常运行，每年向生态环境主管部门报送油气排放检测报告。</w:t>
                  </w:r>
                </w:p>
                <w:p w14:paraId="1AFB49F8">
                  <w:pPr>
                    <w:autoSpaceDE w:val="0"/>
                    <w:autoSpaceDN w:val="0"/>
                    <w:adjustRightInd w:val="0"/>
                    <w:rPr>
                      <w:szCs w:val="21"/>
                    </w:rPr>
                  </w:pPr>
                  <w:r>
                    <w:rPr>
                      <w:szCs w:val="21"/>
                    </w:rPr>
                    <w:t>6、排放油烟的餐饮服务业经营者和企事业单位食堂应当安装油烟净化设施，保持正常使用，定期清洗、维护并保存记录，实现油烟达标排放。</w:t>
                  </w:r>
                </w:p>
              </w:tc>
              <w:tc>
                <w:tcPr>
                  <w:tcW w:w="3109" w:type="dxa"/>
                  <w:noWrap/>
                  <w:vAlign w:val="center"/>
                </w:tcPr>
                <w:p w14:paraId="35517FF2">
                  <w:pPr>
                    <w:rPr>
                      <w:szCs w:val="21"/>
                    </w:rPr>
                  </w:pPr>
                  <w:r>
                    <w:rPr>
                      <w:szCs w:val="21"/>
                    </w:rPr>
                    <w:t>本项目为</w:t>
                  </w:r>
                  <w:r>
                    <w:rPr>
                      <w:rFonts w:hint="eastAsia"/>
                      <w:szCs w:val="21"/>
                    </w:rPr>
                    <w:t>干粉砂浆生产项目</w:t>
                  </w:r>
                  <w:r>
                    <w:rPr>
                      <w:szCs w:val="21"/>
                    </w:rPr>
                    <w:t>，建设完成后按照有关规定设置大气污染物排放口及其标志、永久性监测点位、采样监测平台，不违背污染物排放管控要求</w:t>
                  </w:r>
                  <w:r>
                    <w:rPr>
                      <w:rFonts w:hint="eastAsia"/>
                      <w:szCs w:val="21"/>
                    </w:rPr>
                    <w:t>。</w:t>
                  </w:r>
                </w:p>
              </w:tc>
              <w:tc>
                <w:tcPr>
                  <w:tcW w:w="1533" w:type="dxa"/>
                  <w:noWrap/>
                  <w:vAlign w:val="center"/>
                </w:tcPr>
                <w:p w14:paraId="12A63105">
                  <w:pPr>
                    <w:jc w:val="center"/>
                    <w:rPr>
                      <w:szCs w:val="21"/>
                    </w:rPr>
                  </w:pPr>
                  <w:r>
                    <w:rPr>
                      <w:szCs w:val="21"/>
                    </w:rPr>
                    <w:t>符合</w:t>
                  </w:r>
                </w:p>
              </w:tc>
            </w:tr>
            <w:tr w14:paraId="13C40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5" w:hRule="atLeast"/>
              </w:trPr>
              <w:tc>
                <w:tcPr>
                  <w:tcW w:w="1350" w:type="dxa"/>
                  <w:gridSpan w:val="3"/>
                  <w:noWrap/>
                  <w:vAlign w:val="center"/>
                </w:tcPr>
                <w:p w14:paraId="5768045E">
                  <w:pPr>
                    <w:jc w:val="center"/>
                    <w:rPr>
                      <w:szCs w:val="21"/>
                    </w:rPr>
                  </w:pPr>
                  <w:r>
                    <w:rPr>
                      <w:szCs w:val="21"/>
                    </w:rPr>
                    <w:t>环境风险</w:t>
                  </w:r>
                </w:p>
                <w:p w14:paraId="4C7C7CCA">
                  <w:pPr>
                    <w:jc w:val="center"/>
                    <w:rPr>
                      <w:szCs w:val="21"/>
                    </w:rPr>
                  </w:pPr>
                  <w:r>
                    <w:rPr>
                      <w:szCs w:val="21"/>
                    </w:rPr>
                    <w:t>防控</w:t>
                  </w:r>
                </w:p>
              </w:tc>
              <w:tc>
                <w:tcPr>
                  <w:tcW w:w="6789" w:type="dxa"/>
                  <w:noWrap/>
                  <w:vAlign w:val="center"/>
                </w:tcPr>
                <w:p w14:paraId="5ECC27C6">
                  <w:pPr>
                    <w:autoSpaceDE w:val="0"/>
                    <w:autoSpaceDN w:val="0"/>
                    <w:adjustRightInd w:val="0"/>
                    <w:rPr>
                      <w:szCs w:val="21"/>
                    </w:rPr>
                  </w:pPr>
                  <w:r>
                    <w:rPr>
                      <w:szCs w:val="21"/>
                    </w:rPr>
                    <w:t>1、政府有关部门应当对过境的危险化学品运输车辆采取必要安全防护措施，防止污染饮用水水源。</w:t>
                  </w:r>
                </w:p>
                <w:p w14:paraId="591EC154">
                  <w:pPr>
                    <w:autoSpaceDE w:val="0"/>
                    <w:autoSpaceDN w:val="0"/>
                    <w:adjustRightInd w:val="0"/>
                    <w:rPr>
                      <w:szCs w:val="21"/>
                    </w:rPr>
                  </w:pPr>
                  <w:r>
                    <w:rPr>
                      <w:szCs w:val="21"/>
                    </w:rPr>
                    <w:t>2、生态环境主管部门应当定期对保护区、准保护区的环境状况和污染风险进行调查评估，筛查可能存在的污染风险因素，制定相应的风险防范措施并督促落实。</w:t>
                  </w:r>
                </w:p>
                <w:p w14:paraId="0BEB8AA9">
                  <w:pPr>
                    <w:autoSpaceDE w:val="0"/>
                    <w:autoSpaceDN w:val="0"/>
                    <w:adjustRightInd w:val="0"/>
                    <w:rPr>
                      <w:szCs w:val="21"/>
                    </w:rPr>
                  </w:pPr>
                  <w:r>
                    <w:rPr>
                      <w:szCs w:val="21"/>
                    </w:rPr>
                    <w:t>3、市、县人民政府应当组织制定水源污染事故应急处置方案，发生或者可能发生造成饮用水水源污染的突发性事故时，应当依法启动相应的应急方案，做好应急供水准备。</w:t>
                  </w:r>
                </w:p>
                <w:p w14:paraId="66333262">
                  <w:pPr>
                    <w:autoSpaceDE w:val="0"/>
                    <w:autoSpaceDN w:val="0"/>
                    <w:adjustRightInd w:val="0"/>
                    <w:rPr>
                      <w:szCs w:val="21"/>
                    </w:rPr>
                  </w:pPr>
                  <w:r>
                    <w:rPr>
                      <w:szCs w:val="21"/>
                    </w:rPr>
                    <w:t>4、保护区、准保护区内可能发生水污染事故的企业事业单位、供水单位应当制定水污染事故应急方案，落实预警、预防机制和保障措施，提高水污染事故防范和处置能力。</w:t>
                  </w:r>
                </w:p>
              </w:tc>
              <w:tc>
                <w:tcPr>
                  <w:tcW w:w="3109" w:type="dxa"/>
                  <w:noWrap/>
                  <w:vAlign w:val="center"/>
                </w:tcPr>
                <w:p w14:paraId="5520D442">
                  <w:pPr>
                    <w:rPr>
                      <w:szCs w:val="21"/>
                    </w:rPr>
                  </w:pPr>
                  <w:r>
                    <w:rPr>
                      <w:rFonts w:hint="eastAsia"/>
                      <w:szCs w:val="21"/>
                    </w:rPr>
                    <w:t>本项目建设完成后无生产废水产生，生活污水排入化粪池定期清掏，要求根据相关法律法规要求</w:t>
                  </w:r>
                  <w:r>
                    <w:rPr>
                      <w:szCs w:val="21"/>
                    </w:rPr>
                    <w:t>编制</w:t>
                  </w:r>
                  <w:r>
                    <w:rPr>
                      <w:rFonts w:hint="eastAsia"/>
                      <w:szCs w:val="21"/>
                    </w:rPr>
                    <w:t>突发环境事件</w:t>
                  </w:r>
                  <w:r>
                    <w:rPr>
                      <w:szCs w:val="21"/>
                    </w:rPr>
                    <w:t>应急</w:t>
                  </w:r>
                  <w:r>
                    <w:rPr>
                      <w:rFonts w:hint="eastAsia"/>
                      <w:szCs w:val="21"/>
                    </w:rPr>
                    <w:t>预</w:t>
                  </w:r>
                  <w:r>
                    <w:rPr>
                      <w:szCs w:val="21"/>
                    </w:rPr>
                    <w:t>案，落实预警、预防机制和保障措施，提高染事故防范和处置能力。</w:t>
                  </w:r>
                  <w:r>
                    <w:rPr>
                      <w:rFonts w:hint="eastAsia"/>
                      <w:szCs w:val="21"/>
                    </w:rPr>
                    <w:t xml:space="preserve"> </w:t>
                  </w:r>
                </w:p>
              </w:tc>
              <w:tc>
                <w:tcPr>
                  <w:tcW w:w="1533" w:type="dxa"/>
                  <w:noWrap/>
                  <w:vAlign w:val="center"/>
                </w:tcPr>
                <w:p w14:paraId="677BCF13">
                  <w:pPr>
                    <w:jc w:val="center"/>
                    <w:rPr>
                      <w:szCs w:val="21"/>
                    </w:rPr>
                  </w:pPr>
                  <w:r>
                    <w:rPr>
                      <w:szCs w:val="21"/>
                    </w:rPr>
                    <w:t>符合</w:t>
                  </w:r>
                </w:p>
              </w:tc>
            </w:tr>
            <w:tr w14:paraId="4F3D2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79" w:type="dxa"/>
                  <w:vMerge w:val="restart"/>
                  <w:noWrap/>
                  <w:vAlign w:val="center"/>
                </w:tcPr>
                <w:p w14:paraId="62B53D9E">
                  <w:pPr>
                    <w:rPr>
                      <w:szCs w:val="21"/>
                    </w:rPr>
                  </w:pPr>
                  <w:r>
                    <w:rPr>
                      <w:rFonts w:hint="eastAsia"/>
                      <w:szCs w:val="21"/>
                    </w:rPr>
                    <w:t>资源利用效率</w:t>
                  </w:r>
                </w:p>
              </w:tc>
              <w:tc>
                <w:tcPr>
                  <w:tcW w:w="871" w:type="dxa"/>
                  <w:gridSpan w:val="2"/>
                  <w:vAlign w:val="center"/>
                </w:tcPr>
                <w:p w14:paraId="5E09C092">
                  <w:pPr>
                    <w:jc w:val="center"/>
                    <w:rPr>
                      <w:szCs w:val="21"/>
                    </w:rPr>
                  </w:pPr>
                  <w:r>
                    <w:rPr>
                      <w:rFonts w:hint="eastAsia"/>
                      <w:szCs w:val="21"/>
                    </w:rPr>
                    <w:t>水资源</w:t>
                  </w:r>
                </w:p>
              </w:tc>
              <w:tc>
                <w:tcPr>
                  <w:tcW w:w="6789" w:type="dxa"/>
                  <w:noWrap/>
                  <w:vAlign w:val="center"/>
                </w:tcPr>
                <w:p w14:paraId="372D89A4">
                  <w:pPr>
                    <w:autoSpaceDE w:val="0"/>
                    <w:autoSpaceDN w:val="0"/>
                    <w:adjustRightInd w:val="0"/>
                    <w:rPr>
                      <w:szCs w:val="21"/>
                    </w:rPr>
                  </w:pPr>
                  <w:r>
                    <w:rPr>
                      <w:szCs w:val="21"/>
                    </w:rPr>
                    <w:t>1</w:t>
                  </w:r>
                  <w:r>
                    <w:rPr>
                      <w:rFonts w:hint="eastAsia"/>
                      <w:szCs w:val="21"/>
                    </w:rPr>
                    <w:t>、</w:t>
                  </w:r>
                  <w:r>
                    <w:rPr>
                      <w:szCs w:val="21"/>
                    </w:rPr>
                    <w:t>2025</w:t>
                  </w:r>
                  <w:r>
                    <w:rPr>
                      <w:rFonts w:hint="eastAsia"/>
                      <w:szCs w:val="21"/>
                    </w:rPr>
                    <w:t>、</w:t>
                  </w:r>
                  <w:r>
                    <w:rPr>
                      <w:szCs w:val="21"/>
                    </w:rPr>
                    <w:t>2035</w:t>
                  </w:r>
                  <w:r>
                    <w:rPr>
                      <w:rFonts w:hint="eastAsia"/>
                      <w:szCs w:val="21"/>
                    </w:rPr>
                    <w:t>年吕梁市水资源利用上线执行水利部门关于水资源开发利用总量、强度、效率等相关管控要求。</w:t>
                  </w:r>
                </w:p>
              </w:tc>
              <w:tc>
                <w:tcPr>
                  <w:tcW w:w="3109" w:type="dxa"/>
                  <w:vMerge w:val="restart"/>
                  <w:noWrap/>
                  <w:vAlign w:val="center"/>
                </w:tcPr>
                <w:p w14:paraId="690621EE">
                  <w:pPr>
                    <w:rPr>
                      <w:szCs w:val="21"/>
                    </w:rPr>
                  </w:pPr>
                  <w:r>
                    <w:rPr>
                      <w:rFonts w:hint="eastAsia"/>
                      <w:szCs w:val="21"/>
                    </w:rPr>
                    <w:t>本项目用水由呼家湾村集中供水工程提供，无生产废水产生，用水主要是职工生活用水，洗车平台洗车废水循环利用，减少了新鲜水用量，提高了水资源利用效率，项目使用其他草地，不占基本农田和耕地。</w:t>
                  </w:r>
                </w:p>
              </w:tc>
              <w:tc>
                <w:tcPr>
                  <w:tcW w:w="1533" w:type="dxa"/>
                  <w:vMerge w:val="restart"/>
                  <w:noWrap/>
                  <w:vAlign w:val="center"/>
                </w:tcPr>
                <w:p w14:paraId="2B50A0FF">
                  <w:pPr>
                    <w:jc w:val="center"/>
                    <w:rPr>
                      <w:szCs w:val="21"/>
                    </w:rPr>
                  </w:pPr>
                  <w:r>
                    <w:rPr>
                      <w:rFonts w:hint="eastAsia"/>
                      <w:szCs w:val="21"/>
                    </w:rPr>
                    <w:t>符合</w:t>
                  </w:r>
                </w:p>
              </w:tc>
            </w:tr>
            <w:tr w14:paraId="45249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79" w:type="dxa"/>
                  <w:vMerge w:val="continue"/>
                  <w:noWrap/>
                  <w:vAlign w:val="center"/>
                </w:tcPr>
                <w:p w14:paraId="774BE314">
                  <w:pPr>
                    <w:rPr>
                      <w:szCs w:val="21"/>
                    </w:rPr>
                  </w:pPr>
                </w:p>
              </w:tc>
              <w:tc>
                <w:tcPr>
                  <w:tcW w:w="871" w:type="dxa"/>
                  <w:gridSpan w:val="2"/>
                  <w:vMerge w:val="restart"/>
                  <w:vAlign w:val="center"/>
                </w:tcPr>
                <w:p w14:paraId="35536FE0">
                  <w:pPr>
                    <w:jc w:val="center"/>
                    <w:rPr>
                      <w:szCs w:val="21"/>
                    </w:rPr>
                  </w:pPr>
                  <w:r>
                    <w:rPr>
                      <w:rFonts w:hint="eastAsia"/>
                      <w:szCs w:val="21"/>
                    </w:rPr>
                    <w:t>能源</w:t>
                  </w:r>
                </w:p>
              </w:tc>
              <w:tc>
                <w:tcPr>
                  <w:tcW w:w="6789" w:type="dxa"/>
                  <w:noWrap/>
                  <w:vAlign w:val="center"/>
                </w:tcPr>
                <w:p w14:paraId="5CF7B6B8">
                  <w:pPr>
                    <w:autoSpaceDE w:val="0"/>
                    <w:autoSpaceDN w:val="0"/>
                    <w:adjustRightInd w:val="0"/>
                    <w:rPr>
                      <w:szCs w:val="21"/>
                    </w:rPr>
                  </w:pPr>
                  <w:r>
                    <w:rPr>
                      <w:szCs w:val="21"/>
                    </w:rPr>
                    <w:t>1</w:t>
                  </w:r>
                  <w:r>
                    <w:rPr>
                      <w:rFonts w:hint="eastAsia"/>
                      <w:szCs w:val="21"/>
                    </w:rPr>
                    <w:t>、</w:t>
                  </w:r>
                  <w:r>
                    <w:rPr>
                      <w:szCs w:val="21"/>
                    </w:rPr>
                    <w:t>2025</w:t>
                  </w:r>
                  <w:r>
                    <w:rPr>
                      <w:rFonts w:hint="eastAsia"/>
                      <w:szCs w:val="21"/>
                    </w:rPr>
                    <w:t>、</w:t>
                  </w:r>
                  <w:r>
                    <w:rPr>
                      <w:szCs w:val="21"/>
                    </w:rPr>
                    <w:t>2035</w:t>
                  </w:r>
                  <w:r>
                    <w:rPr>
                      <w:rFonts w:hint="eastAsia"/>
                      <w:szCs w:val="21"/>
                    </w:rPr>
                    <w:t>年吕梁市能源利用上线执行吕梁市“十四五”及中长期能源发展规划相关管控要求。</w:t>
                  </w:r>
                </w:p>
              </w:tc>
              <w:tc>
                <w:tcPr>
                  <w:tcW w:w="3109" w:type="dxa"/>
                  <w:vMerge w:val="continue"/>
                  <w:noWrap/>
                  <w:vAlign w:val="center"/>
                </w:tcPr>
                <w:p w14:paraId="2629A296">
                  <w:pPr>
                    <w:jc w:val="center"/>
                    <w:rPr>
                      <w:szCs w:val="21"/>
                    </w:rPr>
                  </w:pPr>
                </w:p>
              </w:tc>
              <w:tc>
                <w:tcPr>
                  <w:tcW w:w="1533" w:type="dxa"/>
                  <w:vMerge w:val="continue"/>
                  <w:noWrap/>
                  <w:vAlign w:val="center"/>
                </w:tcPr>
                <w:p w14:paraId="264F23FE">
                  <w:pPr>
                    <w:jc w:val="center"/>
                    <w:rPr>
                      <w:szCs w:val="21"/>
                    </w:rPr>
                  </w:pPr>
                </w:p>
              </w:tc>
            </w:tr>
            <w:tr w14:paraId="3EC7F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0" w:hRule="atLeast"/>
              </w:trPr>
              <w:tc>
                <w:tcPr>
                  <w:tcW w:w="479" w:type="dxa"/>
                  <w:vMerge w:val="continue"/>
                  <w:noWrap/>
                  <w:vAlign w:val="center"/>
                </w:tcPr>
                <w:p w14:paraId="27AA99B4">
                  <w:pPr>
                    <w:rPr>
                      <w:szCs w:val="21"/>
                    </w:rPr>
                  </w:pPr>
                </w:p>
              </w:tc>
              <w:tc>
                <w:tcPr>
                  <w:tcW w:w="871" w:type="dxa"/>
                  <w:gridSpan w:val="2"/>
                  <w:vMerge w:val="continue"/>
                  <w:vAlign w:val="center"/>
                </w:tcPr>
                <w:p w14:paraId="56D74F47">
                  <w:pPr>
                    <w:rPr>
                      <w:szCs w:val="21"/>
                    </w:rPr>
                  </w:pPr>
                </w:p>
              </w:tc>
              <w:tc>
                <w:tcPr>
                  <w:tcW w:w="6789" w:type="dxa"/>
                  <w:noWrap/>
                  <w:vAlign w:val="center"/>
                </w:tcPr>
                <w:p w14:paraId="1D093C2C">
                  <w:pPr>
                    <w:autoSpaceDE w:val="0"/>
                    <w:autoSpaceDN w:val="0"/>
                    <w:adjustRightInd w:val="0"/>
                    <w:rPr>
                      <w:szCs w:val="21"/>
                    </w:rPr>
                  </w:pPr>
                  <w:r>
                    <w:rPr>
                      <w:szCs w:val="21"/>
                    </w:rPr>
                    <w:t>1</w:t>
                  </w:r>
                  <w:r>
                    <w:rPr>
                      <w:rFonts w:hint="eastAsia"/>
                      <w:szCs w:val="21"/>
                    </w:rPr>
                    <w:t>、禁煤区内，禁止新建、扩建燃用高污染燃料设施；除燃煤电厂、集中供热站和原料生产使用企业外，禁止销售、储存、运输、燃用煤炭及其制品。</w:t>
                  </w:r>
                </w:p>
              </w:tc>
              <w:tc>
                <w:tcPr>
                  <w:tcW w:w="3109" w:type="dxa"/>
                  <w:vMerge w:val="continue"/>
                  <w:noWrap/>
                  <w:vAlign w:val="center"/>
                </w:tcPr>
                <w:p w14:paraId="0656349C">
                  <w:pPr>
                    <w:jc w:val="center"/>
                    <w:rPr>
                      <w:szCs w:val="21"/>
                    </w:rPr>
                  </w:pPr>
                </w:p>
              </w:tc>
              <w:tc>
                <w:tcPr>
                  <w:tcW w:w="1533" w:type="dxa"/>
                  <w:vMerge w:val="continue"/>
                  <w:noWrap/>
                  <w:vAlign w:val="center"/>
                </w:tcPr>
                <w:p w14:paraId="342D093B">
                  <w:pPr>
                    <w:jc w:val="center"/>
                    <w:rPr>
                      <w:szCs w:val="21"/>
                    </w:rPr>
                  </w:pPr>
                </w:p>
              </w:tc>
            </w:tr>
            <w:tr w14:paraId="41A86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79" w:type="dxa"/>
                  <w:vMerge w:val="continue"/>
                  <w:noWrap/>
                  <w:vAlign w:val="center"/>
                </w:tcPr>
                <w:p w14:paraId="1967BFC9">
                  <w:pPr>
                    <w:rPr>
                      <w:szCs w:val="21"/>
                    </w:rPr>
                  </w:pPr>
                </w:p>
              </w:tc>
              <w:tc>
                <w:tcPr>
                  <w:tcW w:w="871" w:type="dxa"/>
                  <w:gridSpan w:val="2"/>
                  <w:vAlign w:val="center"/>
                </w:tcPr>
                <w:p w14:paraId="3C353293">
                  <w:pPr>
                    <w:jc w:val="center"/>
                    <w:rPr>
                      <w:szCs w:val="21"/>
                    </w:rPr>
                  </w:pPr>
                  <w:r>
                    <w:rPr>
                      <w:rFonts w:hint="eastAsia"/>
                      <w:szCs w:val="21"/>
                    </w:rPr>
                    <w:t>土地</w:t>
                  </w:r>
                </w:p>
                <w:p w14:paraId="5FE1FFDA">
                  <w:pPr>
                    <w:jc w:val="center"/>
                    <w:rPr>
                      <w:szCs w:val="21"/>
                    </w:rPr>
                  </w:pPr>
                  <w:r>
                    <w:rPr>
                      <w:rFonts w:hint="eastAsia"/>
                      <w:szCs w:val="21"/>
                    </w:rPr>
                    <w:t>资源</w:t>
                  </w:r>
                </w:p>
              </w:tc>
              <w:tc>
                <w:tcPr>
                  <w:tcW w:w="6789" w:type="dxa"/>
                  <w:noWrap/>
                  <w:vAlign w:val="center"/>
                </w:tcPr>
                <w:p w14:paraId="7C212ED9">
                  <w:pPr>
                    <w:autoSpaceDE w:val="0"/>
                    <w:autoSpaceDN w:val="0"/>
                    <w:adjustRightInd w:val="0"/>
                    <w:rPr>
                      <w:szCs w:val="21"/>
                    </w:rPr>
                  </w:pPr>
                  <w:r>
                    <w:rPr>
                      <w:szCs w:val="21"/>
                    </w:rPr>
                    <w:t>1</w:t>
                  </w:r>
                  <w:r>
                    <w:rPr>
                      <w:rFonts w:hint="eastAsia"/>
                      <w:szCs w:val="21"/>
                    </w:rPr>
                    <w:t>、</w:t>
                  </w:r>
                  <w:r>
                    <w:rPr>
                      <w:szCs w:val="21"/>
                    </w:rPr>
                    <w:t>2025</w:t>
                  </w:r>
                  <w:r>
                    <w:rPr>
                      <w:rFonts w:hint="eastAsia"/>
                      <w:szCs w:val="21"/>
                    </w:rPr>
                    <w:t>、</w:t>
                  </w:r>
                  <w:r>
                    <w:rPr>
                      <w:szCs w:val="21"/>
                    </w:rPr>
                    <w:t>2035</w:t>
                  </w:r>
                  <w:r>
                    <w:rPr>
                      <w:rFonts w:hint="eastAsia"/>
                      <w:szCs w:val="21"/>
                    </w:rPr>
                    <w:t>年吕梁市土地资源利用上线执行自然资源部门关于土地资源开发利用总量及强度相关管控要求。</w:t>
                  </w:r>
                </w:p>
              </w:tc>
              <w:tc>
                <w:tcPr>
                  <w:tcW w:w="3109" w:type="dxa"/>
                  <w:vMerge w:val="continue"/>
                  <w:noWrap/>
                  <w:vAlign w:val="center"/>
                </w:tcPr>
                <w:p w14:paraId="200F472D">
                  <w:pPr>
                    <w:jc w:val="center"/>
                    <w:rPr>
                      <w:szCs w:val="21"/>
                    </w:rPr>
                  </w:pPr>
                </w:p>
              </w:tc>
              <w:tc>
                <w:tcPr>
                  <w:tcW w:w="1533" w:type="dxa"/>
                  <w:vMerge w:val="continue"/>
                  <w:noWrap/>
                  <w:vAlign w:val="center"/>
                </w:tcPr>
                <w:p w14:paraId="052A4512">
                  <w:pPr>
                    <w:jc w:val="center"/>
                    <w:rPr>
                      <w:szCs w:val="21"/>
                    </w:rPr>
                  </w:pPr>
                </w:p>
              </w:tc>
            </w:tr>
          </w:tbl>
          <w:p w14:paraId="75949583">
            <w:pPr>
              <w:autoSpaceDE w:val="0"/>
              <w:autoSpaceDN w:val="0"/>
              <w:adjustRightInd w:val="0"/>
              <w:snapToGrid w:val="0"/>
              <w:spacing w:line="360" w:lineRule="auto"/>
              <w:jc w:val="left"/>
              <w:rPr>
                <w:rFonts w:hint="eastAsia" w:ascii="宋体" w:hAnsi="宋体" w:cs="宋体"/>
                <w:kern w:val="0"/>
                <w:szCs w:val="21"/>
              </w:rPr>
            </w:pPr>
          </w:p>
        </w:tc>
      </w:tr>
    </w:tbl>
    <w:p w14:paraId="26BE39A4">
      <w:pPr>
        <w:pStyle w:val="34"/>
        <w:spacing w:before="0" w:beforeAutospacing="0" w:after="0" w:afterAutospacing="0"/>
        <w:outlineLvl w:val="0"/>
        <w:rPr>
          <w:rFonts w:hint="eastAsia" w:ascii="黑体" w:hAnsi="黑体" w:eastAsia="黑体"/>
          <w:snapToGrid w:val="0"/>
          <w:sz w:val="30"/>
          <w:szCs w:val="30"/>
        </w:rPr>
        <w:sectPr>
          <w:pgSz w:w="16838" w:h="11906" w:orient="landscape"/>
          <w:pgMar w:top="1531" w:right="1701" w:bottom="1531" w:left="1701" w:header="851" w:footer="851" w:gutter="0"/>
          <w:pgNumType w:fmt="numberInDash"/>
          <w:cols w:space="720" w:num="1"/>
          <w:docGrid w:linePitch="312" w:charSpace="0"/>
        </w:sectPr>
      </w:pP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9"/>
        <w:gridCol w:w="8431"/>
      </w:tblGrid>
      <w:tr w14:paraId="3DF95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9" w:hRule="atLeast"/>
          <w:jc w:val="center"/>
        </w:trPr>
        <w:tc>
          <w:tcPr>
            <w:tcW w:w="439" w:type="dxa"/>
            <w:vAlign w:val="center"/>
          </w:tcPr>
          <w:p w14:paraId="3081B7CC">
            <w:pPr>
              <w:autoSpaceDE w:val="0"/>
              <w:autoSpaceDN w:val="0"/>
              <w:adjustRightInd w:val="0"/>
              <w:snapToGrid w:val="0"/>
              <w:jc w:val="center"/>
              <w:rPr>
                <w:rFonts w:hint="eastAsia" w:ascii="宋体" w:hAnsi="宋体" w:cs="宋体"/>
                <w:kern w:val="0"/>
                <w:sz w:val="24"/>
              </w:rPr>
            </w:pPr>
            <w:r>
              <w:rPr>
                <w:rFonts w:hint="eastAsia" w:ascii="宋体" w:hAnsi="宋体" w:cs="宋体"/>
                <w:kern w:val="0"/>
                <w:sz w:val="24"/>
              </w:rPr>
              <w:t>其他符合性分析</w:t>
            </w:r>
          </w:p>
        </w:tc>
        <w:tc>
          <w:tcPr>
            <w:tcW w:w="8431" w:type="dxa"/>
            <w:vAlign w:val="center"/>
          </w:tcPr>
          <w:p w14:paraId="7B74CDC5">
            <w:pPr>
              <w:spacing w:line="360" w:lineRule="auto"/>
              <w:rPr>
                <w:b/>
                <w:bCs/>
                <w:sz w:val="24"/>
              </w:rPr>
            </w:pPr>
            <w:r>
              <w:rPr>
                <w:b/>
                <w:bCs/>
                <w:sz w:val="24"/>
              </w:rPr>
              <w:t>1.2产业政策符合性分析</w:t>
            </w:r>
          </w:p>
          <w:p w14:paraId="4B06F567">
            <w:pPr>
              <w:autoSpaceDE w:val="0"/>
              <w:autoSpaceDN w:val="0"/>
              <w:adjustRightInd w:val="0"/>
              <w:snapToGrid w:val="0"/>
              <w:spacing w:line="360" w:lineRule="auto"/>
              <w:ind w:firstLine="480" w:firstLineChars="200"/>
              <w:rPr>
                <w:bCs/>
                <w:color w:val="000000"/>
                <w:sz w:val="24"/>
              </w:rPr>
            </w:pPr>
            <w:r>
              <w:rPr>
                <w:bCs/>
                <w:color w:val="000000"/>
                <w:sz w:val="24"/>
              </w:rPr>
              <w:t>根据国家发展和改革委员会《产业结构调整指导目录（20</w:t>
            </w:r>
            <w:r>
              <w:rPr>
                <w:rFonts w:hint="eastAsia"/>
                <w:bCs/>
                <w:color w:val="000000"/>
                <w:sz w:val="24"/>
              </w:rPr>
              <w:t>24</w:t>
            </w:r>
            <w:r>
              <w:rPr>
                <w:bCs/>
                <w:color w:val="000000"/>
                <w:sz w:val="24"/>
              </w:rPr>
              <w:t>本）》（发展改革委令</w:t>
            </w:r>
            <w:r>
              <w:rPr>
                <w:rFonts w:hint="eastAsia"/>
                <w:bCs/>
                <w:color w:val="000000"/>
                <w:sz w:val="24"/>
              </w:rPr>
              <w:t>2023年</w:t>
            </w:r>
            <w:r>
              <w:rPr>
                <w:bCs/>
                <w:color w:val="000000"/>
                <w:sz w:val="24"/>
              </w:rPr>
              <w:t>第</w:t>
            </w:r>
            <w:r>
              <w:rPr>
                <w:rFonts w:hint="eastAsia"/>
                <w:bCs/>
                <w:color w:val="000000"/>
                <w:sz w:val="24"/>
              </w:rPr>
              <w:t>7</w:t>
            </w:r>
            <w:r>
              <w:rPr>
                <w:bCs/>
                <w:color w:val="000000"/>
                <w:sz w:val="24"/>
              </w:rPr>
              <w:t>号），本项目属</w:t>
            </w:r>
            <w:r>
              <w:rPr>
                <w:bCs/>
                <w:sz w:val="24"/>
              </w:rPr>
              <w:t>于允许类。</w:t>
            </w:r>
            <w:r>
              <w:rPr>
                <w:bCs/>
                <w:color w:val="000000"/>
                <w:sz w:val="24"/>
              </w:rPr>
              <w:t>方山县行政审批服务管理局于202</w:t>
            </w:r>
            <w:r>
              <w:rPr>
                <w:rFonts w:hint="eastAsia"/>
                <w:bCs/>
                <w:color w:val="000000"/>
                <w:sz w:val="24"/>
              </w:rPr>
              <w:t>4</w:t>
            </w:r>
            <w:r>
              <w:rPr>
                <w:bCs/>
                <w:color w:val="000000"/>
                <w:sz w:val="24"/>
              </w:rPr>
              <w:t>年</w:t>
            </w:r>
            <w:r>
              <w:rPr>
                <w:rFonts w:hint="eastAsia"/>
                <w:bCs/>
                <w:color w:val="000000"/>
                <w:sz w:val="24"/>
              </w:rPr>
              <w:t>6</w:t>
            </w:r>
            <w:r>
              <w:rPr>
                <w:bCs/>
                <w:color w:val="000000"/>
                <w:sz w:val="24"/>
              </w:rPr>
              <w:t>月</w:t>
            </w:r>
            <w:r>
              <w:rPr>
                <w:rFonts w:hint="eastAsia"/>
                <w:bCs/>
                <w:color w:val="000000"/>
                <w:sz w:val="24"/>
              </w:rPr>
              <w:t>19</w:t>
            </w:r>
            <w:r>
              <w:rPr>
                <w:bCs/>
                <w:color w:val="000000"/>
                <w:sz w:val="24"/>
              </w:rPr>
              <w:t>日对本项目进行了备案，项目编码为：</w:t>
            </w:r>
            <w:r>
              <w:rPr>
                <w:rFonts w:hint="eastAsia"/>
                <w:bCs/>
                <w:color w:val="000000"/>
                <w:sz w:val="24"/>
              </w:rPr>
              <w:t>2406-141128-89-01-791666</w:t>
            </w:r>
            <w:r>
              <w:rPr>
                <w:bCs/>
                <w:color w:val="000000"/>
                <w:sz w:val="24"/>
              </w:rPr>
              <w:t>，本项目建设符合国家产业政策要求。</w:t>
            </w:r>
          </w:p>
          <w:p w14:paraId="65014D8D">
            <w:pPr>
              <w:autoSpaceDE w:val="0"/>
              <w:autoSpaceDN w:val="0"/>
              <w:adjustRightInd w:val="0"/>
              <w:snapToGrid w:val="0"/>
              <w:spacing w:line="360" w:lineRule="auto"/>
              <w:jc w:val="left"/>
              <w:rPr>
                <w:b/>
                <w:bCs/>
                <w:kern w:val="0"/>
                <w:sz w:val="24"/>
              </w:rPr>
            </w:pPr>
            <w:r>
              <w:rPr>
                <w:b/>
                <w:bCs/>
                <w:kern w:val="0"/>
                <w:sz w:val="24"/>
              </w:rPr>
              <w:t>1.3《吕梁市柳林泉域水资源保护条例》符合性分析</w:t>
            </w:r>
          </w:p>
          <w:p w14:paraId="7E0911F4">
            <w:pPr>
              <w:autoSpaceDE w:val="0"/>
              <w:autoSpaceDN w:val="0"/>
              <w:adjustRightInd w:val="0"/>
              <w:snapToGrid w:val="0"/>
              <w:spacing w:line="360" w:lineRule="auto"/>
              <w:ind w:firstLine="480" w:firstLineChars="200"/>
              <w:rPr>
                <w:kern w:val="0"/>
                <w:sz w:val="24"/>
              </w:rPr>
            </w:pPr>
            <w:r>
              <w:rPr>
                <w:color w:val="000000"/>
                <w:sz w:val="24"/>
              </w:rPr>
              <w:t>本项目厂址</w:t>
            </w:r>
            <w:r>
              <w:rPr>
                <w:sz w:val="24"/>
              </w:rPr>
              <w:t>位于</w:t>
            </w:r>
            <w:r>
              <w:rPr>
                <w:rFonts w:hint="eastAsia"/>
                <w:sz w:val="24"/>
              </w:rPr>
              <w:t>山西省吕梁市方山县峪口镇呼家湾村。</w:t>
            </w:r>
            <w:r>
              <w:rPr>
                <w:kern w:val="0"/>
                <w:sz w:val="24"/>
              </w:rPr>
              <w:t>本项目与柳林泉域相对位置图见附图3</w:t>
            </w:r>
            <w:r>
              <w:rPr>
                <w:sz w:val="24"/>
              </w:rPr>
              <w:t>。</w:t>
            </w:r>
            <w:r>
              <w:rPr>
                <w:rFonts w:hint="eastAsia"/>
                <w:sz w:val="24"/>
              </w:rPr>
              <w:t>本项目不在柳林泉域一、二级保护区范围内。</w:t>
            </w:r>
            <w:r>
              <w:rPr>
                <w:sz w:val="24"/>
              </w:rPr>
              <w:t>根据</w:t>
            </w:r>
            <w:r>
              <w:rPr>
                <w:kern w:val="0"/>
                <w:sz w:val="24"/>
              </w:rPr>
              <w:t>《吕梁市柳林泉域水资源保护条例》</w:t>
            </w:r>
            <w:r>
              <w:rPr>
                <w:rFonts w:hint="eastAsia"/>
                <w:kern w:val="0"/>
                <w:sz w:val="24"/>
              </w:rPr>
              <w:t>第十三条要求一、二级保护区外的其他保护区，应当遵守下列规定：（1）控制岩溶地下水开采；（2）合理开发孔隙裂隙地下水；（3）严格控制兴建耗水量大或对水资源有污染的建设项目；（4）不得利用渗坑、渗井、溶洞、废弃钻孔等排放工业废水、城市生活污水，倾倒污物、废渣和城市生活垃圾；（5）禁止不同含水层地下水混合开采；（6）在地表水工程供水范围内，实施地下水关井压采。</w:t>
            </w:r>
          </w:p>
          <w:p w14:paraId="3D02C7E2">
            <w:pPr>
              <w:autoSpaceDE w:val="0"/>
              <w:autoSpaceDN w:val="0"/>
              <w:adjustRightInd w:val="0"/>
              <w:snapToGrid w:val="0"/>
              <w:spacing w:line="360" w:lineRule="auto"/>
              <w:ind w:firstLine="480" w:firstLineChars="200"/>
              <w:jc w:val="left"/>
              <w:rPr>
                <w:color w:val="000000"/>
                <w:sz w:val="24"/>
              </w:rPr>
            </w:pPr>
            <w:r>
              <w:rPr>
                <w:color w:val="000000"/>
                <w:sz w:val="24"/>
              </w:rPr>
              <w:t>本项目位于柳林泉域范围内</w:t>
            </w:r>
            <w:r>
              <w:rPr>
                <w:sz w:val="24"/>
              </w:rPr>
              <w:t>，</w:t>
            </w:r>
            <w:r>
              <w:rPr>
                <w:rFonts w:hint="eastAsia"/>
                <w:sz w:val="24"/>
              </w:rPr>
              <w:t>远离泉域一、二级保护区和裸露岩溶区</w:t>
            </w:r>
            <w:r>
              <w:rPr>
                <w:sz w:val="24"/>
              </w:rPr>
              <w:t>，</w:t>
            </w:r>
            <w:r>
              <w:rPr>
                <w:rFonts w:hint="eastAsia"/>
                <w:sz w:val="24"/>
              </w:rPr>
              <w:t>项目生产过程不使</w:t>
            </w:r>
            <w:r>
              <w:rPr>
                <w:rFonts w:hint="eastAsia"/>
                <w:color w:val="000000"/>
                <w:sz w:val="24"/>
              </w:rPr>
              <w:t>用水，本身无生产废水外排，生活用水通过呼家湾村集中供水工程解决，生活污水进入化粪池定期清掏，</w:t>
            </w:r>
            <w:r>
              <w:rPr>
                <w:color w:val="000000"/>
                <w:sz w:val="24"/>
              </w:rPr>
              <w:t>不违背</w:t>
            </w:r>
            <w:r>
              <w:rPr>
                <w:kern w:val="0"/>
                <w:sz w:val="24"/>
              </w:rPr>
              <w:t>《吕梁市柳林泉域水资源保护条例》</w:t>
            </w:r>
            <w:r>
              <w:rPr>
                <w:rFonts w:hint="eastAsia"/>
                <w:kern w:val="0"/>
                <w:sz w:val="24"/>
              </w:rPr>
              <w:t>相关</w:t>
            </w:r>
            <w:r>
              <w:rPr>
                <w:kern w:val="0"/>
                <w:sz w:val="24"/>
              </w:rPr>
              <w:t>要求。</w:t>
            </w:r>
          </w:p>
          <w:p w14:paraId="2EBB07E3">
            <w:pPr>
              <w:autoSpaceDE w:val="0"/>
              <w:adjustRightInd w:val="0"/>
              <w:snapToGrid w:val="0"/>
              <w:spacing w:line="360" w:lineRule="auto"/>
              <w:rPr>
                <w:b/>
                <w:bCs/>
                <w:color w:val="000000"/>
                <w:sz w:val="24"/>
                <w:lang w:bidi="ar"/>
              </w:rPr>
            </w:pPr>
            <w:r>
              <w:rPr>
                <w:rFonts w:hint="eastAsia"/>
                <w:b/>
                <w:bCs/>
                <w:color w:val="000000"/>
                <w:sz w:val="24"/>
                <w:lang w:bidi="ar"/>
              </w:rPr>
              <w:t>1</w:t>
            </w:r>
            <w:r>
              <w:rPr>
                <w:b/>
                <w:bCs/>
                <w:color w:val="000000"/>
                <w:sz w:val="24"/>
                <w:lang w:bidi="ar"/>
              </w:rPr>
              <w:t>.4</w:t>
            </w:r>
            <w:r>
              <w:rPr>
                <w:rFonts w:hint="eastAsia"/>
                <w:b/>
                <w:bCs/>
                <w:color w:val="000000"/>
                <w:sz w:val="24"/>
                <w:lang w:bidi="ar"/>
              </w:rPr>
              <w:t>与《山西省“十四五”生态环境保护规划》晋环发〔2022〕3号文件符合性分析</w:t>
            </w:r>
          </w:p>
          <w:p w14:paraId="582A60B0">
            <w:pPr>
              <w:autoSpaceDE w:val="0"/>
              <w:adjustRightInd w:val="0"/>
              <w:snapToGrid w:val="0"/>
              <w:spacing w:line="360" w:lineRule="auto"/>
              <w:ind w:firstLine="480" w:firstLineChars="200"/>
              <w:rPr>
                <w:color w:val="000000"/>
                <w:sz w:val="24"/>
                <w:lang w:bidi="ar"/>
              </w:rPr>
            </w:pPr>
            <w:r>
              <w:rPr>
                <w:rFonts w:hint="eastAsia"/>
                <w:color w:val="000000"/>
                <w:sz w:val="24"/>
                <w:lang w:bidi="ar"/>
              </w:rPr>
              <w:t>本项目建设与《山西省“十四五”生态环境保护规划》中的相关部分的要求符合性分析详见表1</w:t>
            </w:r>
            <w:r>
              <w:rPr>
                <w:color w:val="000000"/>
                <w:sz w:val="24"/>
                <w:lang w:bidi="ar"/>
              </w:rPr>
              <w:t>-2</w:t>
            </w:r>
            <w:r>
              <w:rPr>
                <w:rFonts w:hint="eastAsia"/>
                <w:color w:val="000000"/>
                <w:sz w:val="24"/>
                <w:lang w:bidi="ar"/>
              </w:rPr>
              <w:t>，通过表1</w:t>
            </w:r>
            <w:r>
              <w:rPr>
                <w:color w:val="000000"/>
                <w:sz w:val="24"/>
                <w:lang w:bidi="ar"/>
              </w:rPr>
              <w:t>-2</w:t>
            </w:r>
            <w:r>
              <w:rPr>
                <w:rFonts w:hint="eastAsia"/>
                <w:color w:val="000000"/>
                <w:sz w:val="24"/>
                <w:lang w:bidi="ar"/>
              </w:rPr>
              <w:t>可以看出，本项目符合《山西省“十四五”生态环境保护规划》。</w:t>
            </w:r>
          </w:p>
          <w:p w14:paraId="6CCC15E1">
            <w:pPr>
              <w:autoSpaceDE w:val="0"/>
              <w:adjustRightInd w:val="0"/>
              <w:snapToGrid w:val="0"/>
              <w:spacing w:line="360" w:lineRule="auto"/>
              <w:jc w:val="center"/>
              <w:rPr>
                <w:b/>
                <w:bCs/>
                <w:szCs w:val="21"/>
              </w:rPr>
            </w:pPr>
            <w:r>
              <w:rPr>
                <w:rFonts w:hint="eastAsia"/>
                <w:b/>
                <w:bCs/>
                <w:szCs w:val="21"/>
                <w:lang w:bidi="ar"/>
              </w:rPr>
              <w:t>表</w:t>
            </w:r>
            <w:r>
              <w:rPr>
                <w:b/>
                <w:bCs/>
                <w:szCs w:val="21"/>
                <w:lang w:bidi="ar"/>
              </w:rPr>
              <w:t>1</w:t>
            </w:r>
            <w:r>
              <w:rPr>
                <w:rFonts w:hint="eastAsia"/>
                <w:b/>
                <w:bCs/>
                <w:szCs w:val="21"/>
                <w:lang w:bidi="ar"/>
              </w:rPr>
              <w:t>-</w:t>
            </w:r>
            <w:r>
              <w:rPr>
                <w:b/>
                <w:bCs/>
                <w:szCs w:val="21"/>
                <w:lang w:bidi="ar"/>
              </w:rPr>
              <w:t xml:space="preserve">2  </w:t>
            </w:r>
            <w:r>
              <w:rPr>
                <w:rFonts w:hint="eastAsia"/>
                <w:b/>
                <w:bCs/>
                <w:szCs w:val="21"/>
                <w:lang w:bidi="ar"/>
              </w:rPr>
              <w:t>本项目与《山西省“十四五”生态环境保护规划》的符合性一览表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93"/>
              <w:gridCol w:w="2834"/>
              <w:gridCol w:w="958"/>
            </w:tblGrid>
            <w:tr w14:paraId="59985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2684" w:type="pct"/>
                  <w:vAlign w:val="center"/>
                </w:tcPr>
                <w:p w14:paraId="6C703FB0">
                  <w:pPr>
                    <w:pStyle w:val="34"/>
                    <w:widowControl w:val="0"/>
                    <w:autoSpaceDE w:val="0"/>
                    <w:adjustRightInd w:val="0"/>
                    <w:snapToGrid w:val="0"/>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lang w:bidi="ar"/>
                    </w:rPr>
                    <w:t>相关要求</w:t>
                  </w:r>
                </w:p>
              </w:tc>
              <w:tc>
                <w:tcPr>
                  <w:tcW w:w="1731" w:type="pct"/>
                  <w:vAlign w:val="center"/>
                </w:tcPr>
                <w:p w14:paraId="294832F5">
                  <w:pPr>
                    <w:pStyle w:val="34"/>
                    <w:widowControl w:val="0"/>
                    <w:autoSpaceDE w:val="0"/>
                    <w:adjustRightInd w:val="0"/>
                    <w:snapToGrid w:val="0"/>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lang w:bidi="ar"/>
                    </w:rPr>
                    <w:t>本项目</w:t>
                  </w:r>
                </w:p>
              </w:tc>
              <w:tc>
                <w:tcPr>
                  <w:tcW w:w="585" w:type="pct"/>
                  <w:vAlign w:val="center"/>
                </w:tcPr>
                <w:p w14:paraId="51D7A9C2">
                  <w:pPr>
                    <w:pStyle w:val="34"/>
                    <w:widowControl w:val="0"/>
                    <w:autoSpaceDE w:val="0"/>
                    <w:adjustRightInd w:val="0"/>
                    <w:snapToGrid w:val="0"/>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lang w:bidi="ar"/>
                    </w:rPr>
                    <w:t>符合性</w:t>
                  </w:r>
                </w:p>
              </w:tc>
            </w:tr>
            <w:tr w14:paraId="6B06F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84" w:type="pct"/>
                  <w:vAlign w:val="center"/>
                </w:tcPr>
                <w:p w14:paraId="45996965">
                  <w:pPr>
                    <w:widowControl/>
                    <w:adjustRightInd w:val="0"/>
                    <w:snapToGrid w:val="0"/>
                    <w:jc w:val="center"/>
                    <w:rPr>
                      <w:color w:val="000000"/>
                      <w:kern w:val="0"/>
                      <w:szCs w:val="21"/>
                      <w:lang w:bidi="ar"/>
                    </w:rPr>
                  </w:pPr>
                  <w:r>
                    <w:rPr>
                      <w:rFonts w:hint="eastAsia"/>
                      <w:color w:val="000000"/>
                      <w:kern w:val="0"/>
                      <w:szCs w:val="21"/>
                      <w:lang w:bidi="ar"/>
                    </w:rPr>
                    <w:t>强化生态环境空间管控。严格落实生态保护红线、永久基本农田、城镇开发边界“三条控制线”和“三线一单”生态环境分区管控要求。按照资源环境承载能力，合理确定城市规模和空间结构，统筹安排城市建设、产业发展、生态涵养、基础设施和公共服务。在产业布局、结构调整、资源开发、城镇建设、重大项目选址时，应加强与国土空间规划和“三线一单”衔接并进行协调性分析；在规划编制、政策制定、执法监管等过程中，应将其作为重要依据，从严把好生态环境准入关，确保环境不超载、底线不突破。</w:t>
                  </w:r>
                </w:p>
              </w:tc>
              <w:tc>
                <w:tcPr>
                  <w:tcW w:w="1731" w:type="pct"/>
                  <w:vAlign w:val="center"/>
                </w:tcPr>
                <w:p w14:paraId="296D3397">
                  <w:pPr>
                    <w:pStyle w:val="34"/>
                    <w:widowControl w:val="0"/>
                    <w:autoSpaceDE w:val="0"/>
                    <w:adjustRightInd w:val="0"/>
                    <w:snapToGrid w:val="0"/>
                    <w:spacing w:before="0" w:beforeAutospacing="0" w:after="0" w:afterAutospacing="0"/>
                    <w:jc w:val="both"/>
                    <w:rPr>
                      <w:rFonts w:ascii="Times New Roman" w:hAnsi="Times New Roman"/>
                      <w:sz w:val="21"/>
                      <w:szCs w:val="21"/>
                      <w:lang w:bidi="ar"/>
                    </w:rPr>
                  </w:pPr>
                  <w:r>
                    <w:rPr>
                      <w:rFonts w:hint="eastAsia" w:ascii="Times New Roman" w:hAnsi="Times New Roman"/>
                      <w:sz w:val="21"/>
                      <w:szCs w:val="21"/>
                      <w:lang w:bidi="ar"/>
                    </w:rPr>
                    <w:t>本项目占地范围内不涉及基本农田和生态保护红线范围，项目占地为其他草地，根据前文中本项目与“三线一单”的符合性分析可知，本项目的建设符合吕梁市“三线一单”的相关管控要求。</w:t>
                  </w:r>
                </w:p>
              </w:tc>
              <w:tc>
                <w:tcPr>
                  <w:tcW w:w="585" w:type="pct"/>
                  <w:vAlign w:val="center"/>
                </w:tcPr>
                <w:p w14:paraId="5D60F0E9">
                  <w:pPr>
                    <w:pStyle w:val="34"/>
                    <w:widowControl w:val="0"/>
                    <w:autoSpaceDE w:val="0"/>
                    <w:adjustRightInd w:val="0"/>
                    <w:snapToGrid w:val="0"/>
                    <w:spacing w:before="0" w:beforeAutospacing="0" w:after="0" w:afterAutospacing="0"/>
                    <w:jc w:val="center"/>
                    <w:rPr>
                      <w:rFonts w:ascii="Times New Roman" w:hAnsi="Times New Roman"/>
                      <w:color w:val="000000"/>
                      <w:sz w:val="21"/>
                      <w:szCs w:val="21"/>
                      <w:lang w:bidi="ar"/>
                    </w:rPr>
                  </w:pPr>
                  <w:r>
                    <w:rPr>
                      <w:rFonts w:hint="eastAsia" w:ascii="Times New Roman" w:hAnsi="Times New Roman"/>
                      <w:color w:val="000000"/>
                      <w:sz w:val="21"/>
                      <w:szCs w:val="21"/>
                      <w:lang w:bidi="ar"/>
                    </w:rPr>
                    <w:t>符合</w:t>
                  </w:r>
                </w:p>
              </w:tc>
            </w:tr>
            <w:tr w14:paraId="7B311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84" w:type="pct"/>
                  <w:vAlign w:val="center"/>
                </w:tcPr>
                <w:p w14:paraId="0570A421">
                  <w:pPr>
                    <w:widowControl/>
                    <w:adjustRightInd w:val="0"/>
                    <w:snapToGrid w:val="0"/>
                    <w:jc w:val="center"/>
                    <w:rPr>
                      <w:color w:val="000000"/>
                      <w:szCs w:val="21"/>
                    </w:rPr>
                  </w:pPr>
                  <w:r>
                    <w:rPr>
                      <w:rFonts w:hint="eastAsia"/>
                      <w:color w:val="000000"/>
                      <w:kern w:val="0"/>
                      <w:szCs w:val="21"/>
                      <w:lang w:bidi="ar"/>
                    </w:rPr>
                    <w:t>加快“无废城市”建设。按照国家“十四五”“无废城市”建设工作要求，推进我省2—3 个市开展“无废城市”国家试点建设，探索开展“无废园区”“无废矿区”建设，提升全省固体废物减量化、资源化及无害化水平，防控固体废物环境风险。</w:t>
                  </w:r>
                </w:p>
              </w:tc>
              <w:tc>
                <w:tcPr>
                  <w:tcW w:w="1731" w:type="pct"/>
                  <w:vAlign w:val="center"/>
                </w:tcPr>
                <w:p w14:paraId="4D5526BB">
                  <w:pPr>
                    <w:autoSpaceDE w:val="0"/>
                    <w:autoSpaceDN w:val="0"/>
                    <w:adjustRightInd w:val="0"/>
                    <w:snapToGrid w:val="0"/>
                    <w:rPr>
                      <w:color w:val="000000"/>
                      <w:szCs w:val="21"/>
                    </w:rPr>
                  </w:pPr>
                  <w:r>
                    <w:rPr>
                      <w:rFonts w:hint="eastAsia"/>
                      <w:color w:val="000000"/>
                      <w:szCs w:val="21"/>
                    </w:rPr>
                    <w:t>本项目运营期间产生的固废均进行了合理地处置（详见本文中工程建设内容一览表中环保工程），符合</w:t>
                  </w:r>
                  <w:r>
                    <w:rPr>
                      <w:rFonts w:hint="eastAsia"/>
                      <w:color w:val="000000"/>
                      <w:kern w:val="0"/>
                      <w:szCs w:val="21"/>
                      <w:lang w:bidi="ar"/>
                    </w:rPr>
                    <w:t>固体废物减量化、资源化及无害化的要求。</w:t>
                  </w:r>
                </w:p>
              </w:tc>
              <w:tc>
                <w:tcPr>
                  <w:tcW w:w="585" w:type="pct"/>
                  <w:vAlign w:val="center"/>
                </w:tcPr>
                <w:p w14:paraId="56BBBC3C">
                  <w:pPr>
                    <w:autoSpaceDE w:val="0"/>
                    <w:adjustRightInd w:val="0"/>
                    <w:snapToGrid w:val="0"/>
                    <w:jc w:val="center"/>
                    <w:rPr>
                      <w:color w:val="000000"/>
                      <w:szCs w:val="21"/>
                    </w:rPr>
                  </w:pPr>
                  <w:r>
                    <w:rPr>
                      <w:rFonts w:hint="eastAsia"/>
                      <w:color w:val="000000"/>
                      <w:szCs w:val="21"/>
                      <w:lang w:bidi="ar"/>
                    </w:rPr>
                    <w:t>符合</w:t>
                  </w:r>
                </w:p>
              </w:tc>
            </w:tr>
            <w:tr w14:paraId="50F28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84" w:type="pct"/>
                  <w:vAlign w:val="center"/>
                </w:tcPr>
                <w:p w14:paraId="264B003C">
                  <w:pPr>
                    <w:widowControl/>
                    <w:adjustRightInd w:val="0"/>
                    <w:snapToGrid w:val="0"/>
                    <w:jc w:val="center"/>
                    <w:rPr>
                      <w:color w:val="000000"/>
                      <w:szCs w:val="21"/>
                    </w:rPr>
                  </w:pPr>
                  <w:r>
                    <w:rPr>
                      <w:color w:val="000000"/>
                      <w:szCs w:val="21"/>
                    </w:rPr>
                    <w:t>做好危险废物全过程监管。建立健全源头严防、过程严管、违法严惩的监管体系。</w:t>
                  </w:r>
                </w:p>
              </w:tc>
              <w:tc>
                <w:tcPr>
                  <w:tcW w:w="1731" w:type="pct"/>
                  <w:vAlign w:val="center"/>
                </w:tcPr>
                <w:p w14:paraId="2654C7C1">
                  <w:pPr>
                    <w:pStyle w:val="34"/>
                    <w:widowControl w:val="0"/>
                    <w:autoSpaceDE w:val="0"/>
                    <w:adjustRightInd w:val="0"/>
                    <w:snapToGrid w:val="0"/>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本项目产生的危废暂存于厂区建设的危废贮存库，定期交由有资质的单位处理。</w:t>
                  </w:r>
                </w:p>
              </w:tc>
              <w:tc>
                <w:tcPr>
                  <w:tcW w:w="585" w:type="pct"/>
                  <w:vAlign w:val="center"/>
                </w:tcPr>
                <w:p w14:paraId="1D7FF54E">
                  <w:pPr>
                    <w:autoSpaceDE w:val="0"/>
                    <w:adjustRightInd w:val="0"/>
                    <w:snapToGrid w:val="0"/>
                    <w:jc w:val="center"/>
                    <w:rPr>
                      <w:color w:val="000000"/>
                      <w:szCs w:val="21"/>
                    </w:rPr>
                  </w:pPr>
                  <w:r>
                    <w:rPr>
                      <w:rFonts w:hint="eastAsia"/>
                      <w:color w:val="000000"/>
                      <w:szCs w:val="21"/>
                      <w:lang w:bidi="ar"/>
                    </w:rPr>
                    <w:t>符合</w:t>
                  </w:r>
                </w:p>
              </w:tc>
            </w:tr>
            <w:tr w14:paraId="57D07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84" w:type="pct"/>
                  <w:vAlign w:val="center"/>
                </w:tcPr>
                <w:p w14:paraId="02735ECD">
                  <w:pPr>
                    <w:widowControl/>
                    <w:adjustRightInd w:val="0"/>
                    <w:snapToGrid w:val="0"/>
                    <w:jc w:val="center"/>
                    <w:rPr>
                      <w:color w:val="000000"/>
                      <w:szCs w:val="21"/>
                    </w:rPr>
                  </w:pPr>
                  <w:r>
                    <w:rPr>
                      <w:color w:val="000000"/>
                      <w:szCs w:val="21"/>
                    </w:rPr>
                    <w:t>严格控制新建、扩建固体废物产生量大、区域难以实现有效综合利用和无害化处置的项目。促进固体废物减量和循环利用，推行绿色设计，提高产品可拆解性、可回收性，减少有毒有害原辅料使用，培育一批绿色设计示范企业</w:t>
                  </w:r>
                  <w:r>
                    <w:rPr>
                      <w:rFonts w:hint="eastAsia"/>
                      <w:color w:val="000000"/>
                      <w:szCs w:val="21"/>
                    </w:rPr>
                    <w:t>。</w:t>
                  </w:r>
                </w:p>
              </w:tc>
              <w:tc>
                <w:tcPr>
                  <w:tcW w:w="1731" w:type="pct"/>
                  <w:vAlign w:val="center"/>
                </w:tcPr>
                <w:p w14:paraId="1F08958C">
                  <w:pPr>
                    <w:pStyle w:val="34"/>
                    <w:widowControl w:val="0"/>
                    <w:autoSpaceDE w:val="0"/>
                    <w:adjustRightInd w:val="0"/>
                    <w:snapToGrid w:val="0"/>
                    <w:spacing w:before="0" w:beforeAutospacing="0" w:after="0" w:afterAutospacing="0"/>
                    <w:jc w:val="both"/>
                    <w:rPr>
                      <w:rFonts w:ascii="Times New Roman" w:hAnsi="Times New Roman"/>
                      <w:color w:val="000000"/>
                      <w:sz w:val="21"/>
                      <w:szCs w:val="21"/>
                    </w:rPr>
                  </w:pPr>
                  <w:r>
                    <w:rPr>
                      <w:rFonts w:hint="eastAsia" w:ascii="Times New Roman" w:hAnsi="Times New Roman"/>
                      <w:color w:val="000000"/>
                      <w:sz w:val="21"/>
                      <w:szCs w:val="21"/>
                    </w:rPr>
                    <w:t>本项目生产过程中除尘器除尘灰综合利用，符合固废循环利用的要求。</w:t>
                  </w:r>
                </w:p>
              </w:tc>
              <w:tc>
                <w:tcPr>
                  <w:tcW w:w="585" w:type="pct"/>
                  <w:vAlign w:val="center"/>
                </w:tcPr>
                <w:p w14:paraId="275DE2BF">
                  <w:pPr>
                    <w:autoSpaceDE w:val="0"/>
                    <w:adjustRightInd w:val="0"/>
                    <w:snapToGrid w:val="0"/>
                    <w:jc w:val="center"/>
                    <w:rPr>
                      <w:color w:val="000000"/>
                      <w:szCs w:val="21"/>
                      <w:lang w:bidi="ar"/>
                    </w:rPr>
                  </w:pPr>
                  <w:r>
                    <w:rPr>
                      <w:rFonts w:hint="eastAsia"/>
                      <w:color w:val="000000"/>
                      <w:kern w:val="0"/>
                      <w:szCs w:val="21"/>
                      <w:lang w:bidi="ar"/>
                    </w:rPr>
                    <w:t>符合</w:t>
                  </w:r>
                </w:p>
              </w:tc>
            </w:tr>
            <w:tr w14:paraId="2849C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84" w:type="pct"/>
                  <w:vAlign w:val="center"/>
                </w:tcPr>
                <w:p w14:paraId="74686F60">
                  <w:pPr>
                    <w:widowControl/>
                    <w:adjustRightInd w:val="0"/>
                    <w:snapToGrid w:val="0"/>
                    <w:jc w:val="center"/>
                    <w:rPr>
                      <w:color w:val="000000"/>
                      <w:szCs w:val="21"/>
                    </w:rPr>
                  </w:pPr>
                  <w:r>
                    <w:rPr>
                      <w:color w:val="000000"/>
                      <w:szCs w:val="21"/>
                    </w:rPr>
                    <w:t>合理利用雨水、污水资源，加快推进太原、临汾、运城等地下水超采区综合治理，深入推进</w:t>
                  </w:r>
                  <w:r>
                    <w:rPr>
                      <w:rFonts w:hint="eastAsia"/>
                      <w:color w:val="000000"/>
                      <w:szCs w:val="21"/>
                    </w:rPr>
                    <w:t>“</w:t>
                  </w:r>
                  <w:r>
                    <w:rPr>
                      <w:color w:val="000000"/>
                      <w:szCs w:val="21"/>
                    </w:rPr>
                    <w:t>五水</w:t>
                  </w:r>
                  <w:r>
                    <w:rPr>
                      <w:rFonts w:hint="eastAsia"/>
                      <w:color w:val="000000"/>
                      <w:szCs w:val="21"/>
                    </w:rPr>
                    <w:t>”</w:t>
                  </w:r>
                  <w:r>
                    <w:rPr>
                      <w:color w:val="000000"/>
                      <w:szCs w:val="21"/>
                    </w:rPr>
                    <w:t>济汾，切实保障汾河生态流量。</w:t>
                  </w:r>
                </w:p>
              </w:tc>
              <w:tc>
                <w:tcPr>
                  <w:tcW w:w="1731" w:type="pct"/>
                  <w:vAlign w:val="center"/>
                </w:tcPr>
                <w:p w14:paraId="6585993A">
                  <w:pPr>
                    <w:widowControl/>
                    <w:adjustRightInd w:val="0"/>
                    <w:snapToGrid w:val="0"/>
                    <w:rPr>
                      <w:color w:val="000000"/>
                      <w:szCs w:val="21"/>
                    </w:rPr>
                  </w:pPr>
                  <w:r>
                    <w:rPr>
                      <w:color w:val="000000"/>
                      <w:szCs w:val="21"/>
                    </w:rPr>
                    <w:t>本项目</w:t>
                  </w:r>
                  <w:r>
                    <w:rPr>
                      <w:rFonts w:hint="eastAsia"/>
                      <w:color w:val="000000"/>
                      <w:szCs w:val="21"/>
                    </w:rPr>
                    <w:t>回收到初期雨水收集池的雨水可用厂区洒水绿化，不外排。</w:t>
                  </w:r>
                  <w:r>
                    <w:rPr>
                      <w:color w:val="000000"/>
                      <w:szCs w:val="21"/>
                    </w:rPr>
                    <w:t>运营期产生的废水主要为生活污水和洗车废水。</w:t>
                  </w:r>
                  <w:r>
                    <w:rPr>
                      <w:rFonts w:hint="eastAsia"/>
                      <w:color w:val="000000"/>
                      <w:szCs w:val="21"/>
                    </w:rPr>
                    <w:t>生活污水排入化粪池定期清掏，</w:t>
                  </w:r>
                  <w:r>
                    <w:rPr>
                      <w:color w:val="000000"/>
                      <w:szCs w:val="21"/>
                    </w:rPr>
                    <w:t>洗车废水经洗车平台下方设置的导流渠导至沉淀池，沉淀后循环利用。</w:t>
                  </w:r>
                </w:p>
              </w:tc>
              <w:tc>
                <w:tcPr>
                  <w:tcW w:w="585" w:type="pct"/>
                  <w:vAlign w:val="center"/>
                </w:tcPr>
                <w:p w14:paraId="515440E1">
                  <w:pPr>
                    <w:widowControl/>
                    <w:adjustRightInd w:val="0"/>
                    <w:snapToGrid w:val="0"/>
                    <w:jc w:val="center"/>
                    <w:rPr>
                      <w:color w:val="000000"/>
                      <w:szCs w:val="21"/>
                    </w:rPr>
                  </w:pPr>
                  <w:r>
                    <w:rPr>
                      <w:rFonts w:hint="eastAsia"/>
                      <w:color w:val="000000"/>
                      <w:kern w:val="0"/>
                      <w:szCs w:val="21"/>
                      <w:lang w:bidi="ar"/>
                    </w:rPr>
                    <w:t>符合</w:t>
                  </w:r>
                </w:p>
              </w:tc>
            </w:tr>
            <w:tr w14:paraId="38CD9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2" w:hRule="atLeast"/>
                <w:jc w:val="center"/>
              </w:trPr>
              <w:tc>
                <w:tcPr>
                  <w:tcW w:w="2684" w:type="pct"/>
                  <w:vAlign w:val="center"/>
                </w:tcPr>
                <w:p w14:paraId="314D9FB5">
                  <w:pPr>
                    <w:widowControl/>
                    <w:adjustRightInd w:val="0"/>
                    <w:snapToGrid w:val="0"/>
                    <w:jc w:val="center"/>
                    <w:rPr>
                      <w:color w:val="000000"/>
                      <w:szCs w:val="21"/>
                    </w:rPr>
                  </w:pPr>
                  <w:r>
                    <w:rPr>
                      <w:color w:val="000000"/>
                      <w:szCs w:val="21"/>
                    </w:rPr>
                    <w:t>全面推行绿色施工，建筑工地严格落实扬尘治理</w:t>
                  </w:r>
                  <w:r>
                    <w:rPr>
                      <w:rFonts w:hint="eastAsia"/>
                      <w:color w:val="000000"/>
                      <w:szCs w:val="21"/>
                    </w:rPr>
                    <w:t>“</w:t>
                  </w:r>
                  <w:r>
                    <w:rPr>
                      <w:color w:val="000000"/>
                      <w:szCs w:val="21"/>
                    </w:rPr>
                    <w:t>六个百分之百</w:t>
                  </w:r>
                  <w:r>
                    <w:rPr>
                      <w:rFonts w:hint="eastAsia"/>
                      <w:color w:val="000000"/>
                      <w:szCs w:val="21"/>
                    </w:rPr>
                    <w:t>”</w:t>
                  </w:r>
                  <w:r>
                    <w:rPr>
                      <w:color w:val="000000"/>
                      <w:szCs w:val="21"/>
                    </w:rPr>
                    <w:t>管控措施。强化道路扬尘综合治理，推进城市道路低尘机械化清扫作业，有效管控渣土运输扬尘，渣土车实施硬覆盖与全密闭运输，严格按规定路线行驶和倾倒。加强煤矿企业厂区道路、厂区与周边道路连接路段的路面硬化。持续开展城乡环境整治工程，加强城市裸地扬尘污染控制，关闭城市规划区范围内露天矿山，对遗留场地进行生态修复或采取抑尘措施。</w:t>
                  </w:r>
                </w:p>
              </w:tc>
              <w:tc>
                <w:tcPr>
                  <w:tcW w:w="1731" w:type="pct"/>
                  <w:vAlign w:val="center"/>
                </w:tcPr>
                <w:p w14:paraId="09F4BC5F">
                  <w:pPr>
                    <w:widowControl/>
                    <w:adjustRightInd w:val="0"/>
                    <w:snapToGrid w:val="0"/>
                    <w:rPr>
                      <w:color w:val="000000"/>
                      <w:szCs w:val="21"/>
                    </w:rPr>
                  </w:pPr>
                  <w:r>
                    <w:rPr>
                      <w:rFonts w:hint="eastAsia"/>
                      <w:color w:val="000000"/>
                      <w:szCs w:val="21"/>
                    </w:rPr>
                    <w:t>本项目施工期严格落实环评中提出的</w:t>
                  </w:r>
                  <w:r>
                    <w:rPr>
                      <w:color w:val="000000"/>
                      <w:szCs w:val="21"/>
                    </w:rPr>
                    <w:t>扬尘治理</w:t>
                  </w:r>
                  <w:r>
                    <w:rPr>
                      <w:rFonts w:hint="eastAsia"/>
                      <w:color w:val="000000"/>
                      <w:szCs w:val="21"/>
                    </w:rPr>
                    <w:t>“</w:t>
                  </w:r>
                  <w:r>
                    <w:rPr>
                      <w:color w:val="000000"/>
                      <w:szCs w:val="21"/>
                    </w:rPr>
                    <w:t>六个百分之百</w:t>
                  </w:r>
                  <w:r>
                    <w:rPr>
                      <w:rFonts w:hint="eastAsia"/>
                      <w:color w:val="000000"/>
                      <w:szCs w:val="21"/>
                    </w:rPr>
                    <w:t>”</w:t>
                  </w:r>
                  <w:r>
                    <w:rPr>
                      <w:color w:val="000000"/>
                      <w:szCs w:val="21"/>
                    </w:rPr>
                    <w:t>管控措施</w:t>
                  </w:r>
                  <w:r>
                    <w:rPr>
                      <w:rFonts w:hint="eastAsia"/>
                      <w:color w:val="000000"/>
                      <w:szCs w:val="21"/>
                    </w:rPr>
                    <w:t>。项目施工期和运营期车辆运输尽量采用密闭车斗，保证物料不遗撒外漏；当车辆无密闭车斗时，装载高度不得超过车辆槽帮上沿，并用篷布遮盖；项目厂区内除建构筑物和绿化区域外全部硬化处理，可有效降尘。</w:t>
                  </w:r>
                </w:p>
              </w:tc>
              <w:tc>
                <w:tcPr>
                  <w:tcW w:w="585" w:type="pct"/>
                  <w:vAlign w:val="center"/>
                </w:tcPr>
                <w:p w14:paraId="0CEB4548">
                  <w:pPr>
                    <w:widowControl/>
                    <w:adjustRightInd w:val="0"/>
                    <w:snapToGrid w:val="0"/>
                    <w:jc w:val="center"/>
                    <w:rPr>
                      <w:color w:val="000000"/>
                      <w:szCs w:val="21"/>
                    </w:rPr>
                  </w:pPr>
                  <w:r>
                    <w:rPr>
                      <w:rFonts w:hint="eastAsia"/>
                      <w:color w:val="000000"/>
                      <w:kern w:val="0"/>
                      <w:szCs w:val="21"/>
                      <w:lang w:bidi="ar"/>
                    </w:rPr>
                    <w:t>符合</w:t>
                  </w:r>
                </w:p>
              </w:tc>
            </w:tr>
            <w:tr w14:paraId="27AEB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84" w:type="pct"/>
                  <w:vAlign w:val="center"/>
                </w:tcPr>
                <w:p w14:paraId="42AEB9F6">
                  <w:pPr>
                    <w:widowControl/>
                    <w:adjustRightInd w:val="0"/>
                    <w:snapToGrid w:val="0"/>
                    <w:jc w:val="center"/>
                    <w:rPr>
                      <w:color w:val="000000"/>
                      <w:szCs w:val="21"/>
                    </w:rPr>
                  </w:pPr>
                  <w:r>
                    <w:rPr>
                      <w:color w:val="000000"/>
                      <w:szCs w:val="21"/>
                    </w:rPr>
                    <w:t>全面淘汰国三及以下排放标准营运柴油货车。全面实施重型车国6</w:t>
                  </w:r>
                  <w:r>
                    <w:rPr>
                      <w:rFonts w:hint="eastAsia"/>
                      <w:color w:val="000000"/>
                      <w:szCs w:val="21"/>
                    </w:rPr>
                    <w:t>a</w:t>
                  </w:r>
                  <w:r>
                    <w:rPr>
                      <w:color w:val="000000"/>
                      <w:szCs w:val="21"/>
                    </w:rPr>
                    <w:t>排放标准，2023年7月1日起实施轻型车和重型车国6b排放标准，全面实施非道路移动柴油机械第四阶段排放标准</w:t>
                  </w:r>
                </w:p>
              </w:tc>
              <w:tc>
                <w:tcPr>
                  <w:tcW w:w="1731" w:type="pct"/>
                  <w:vAlign w:val="center"/>
                </w:tcPr>
                <w:p w14:paraId="4420E8AF">
                  <w:pPr>
                    <w:widowControl/>
                    <w:adjustRightInd w:val="0"/>
                    <w:snapToGrid w:val="0"/>
                    <w:rPr>
                      <w:color w:val="000000"/>
                      <w:szCs w:val="21"/>
                    </w:rPr>
                  </w:pPr>
                  <w:r>
                    <w:rPr>
                      <w:rFonts w:hint="eastAsia"/>
                      <w:color w:val="000000"/>
                      <w:szCs w:val="21"/>
                    </w:rPr>
                    <w:t>本项目道路运输汽车为重型汽车，采用国六排放标准，非道路移动柴油机械执行第四阶段排放标准。</w:t>
                  </w:r>
                </w:p>
              </w:tc>
              <w:tc>
                <w:tcPr>
                  <w:tcW w:w="585" w:type="pct"/>
                  <w:vAlign w:val="center"/>
                </w:tcPr>
                <w:p w14:paraId="3D8B6501">
                  <w:pPr>
                    <w:widowControl/>
                    <w:adjustRightInd w:val="0"/>
                    <w:snapToGrid w:val="0"/>
                    <w:jc w:val="center"/>
                    <w:rPr>
                      <w:color w:val="000000"/>
                      <w:kern w:val="0"/>
                      <w:szCs w:val="21"/>
                      <w:lang w:bidi="ar"/>
                    </w:rPr>
                  </w:pPr>
                  <w:r>
                    <w:rPr>
                      <w:rFonts w:hint="eastAsia"/>
                      <w:color w:val="000000"/>
                      <w:kern w:val="0"/>
                      <w:szCs w:val="21"/>
                      <w:lang w:bidi="ar"/>
                    </w:rPr>
                    <w:t>符合</w:t>
                  </w:r>
                </w:p>
              </w:tc>
            </w:tr>
          </w:tbl>
          <w:p w14:paraId="7407871A">
            <w:pPr>
              <w:autoSpaceDE w:val="0"/>
              <w:autoSpaceDN w:val="0"/>
              <w:adjustRightInd w:val="0"/>
              <w:snapToGrid w:val="0"/>
              <w:spacing w:line="360" w:lineRule="auto"/>
              <w:rPr>
                <w:b/>
                <w:bCs/>
                <w:kern w:val="0"/>
                <w:sz w:val="24"/>
              </w:rPr>
            </w:pPr>
          </w:p>
          <w:p w14:paraId="5FD6EE9F">
            <w:pPr>
              <w:autoSpaceDE w:val="0"/>
              <w:autoSpaceDN w:val="0"/>
              <w:adjustRightInd w:val="0"/>
              <w:snapToGrid w:val="0"/>
              <w:spacing w:line="360" w:lineRule="auto"/>
              <w:rPr>
                <w:b/>
                <w:bCs/>
                <w:kern w:val="0"/>
                <w:sz w:val="24"/>
              </w:rPr>
            </w:pPr>
            <w:r>
              <w:rPr>
                <w:b/>
                <w:bCs/>
                <w:kern w:val="0"/>
                <w:sz w:val="24"/>
              </w:rPr>
              <w:t>1.5与《山西省深入推进扬尘污染防治工作方案》的符合性分析</w:t>
            </w:r>
          </w:p>
          <w:p w14:paraId="538D4578">
            <w:pPr>
              <w:spacing w:line="360" w:lineRule="auto"/>
              <w:ind w:firstLine="480" w:firstLineChars="200"/>
              <w:rPr>
                <w:color w:val="000000"/>
                <w:sz w:val="24"/>
              </w:rPr>
            </w:pPr>
            <w:r>
              <w:rPr>
                <w:color w:val="000000"/>
                <w:sz w:val="24"/>
              </w:rPr>
              <w:t>根据《山西省深入推进扬尘污染防治工作方案》要求：</w:t>
            </w:r>
            <w:r>
              <w:rPr>
                <w:rFonts w:hint="eastAsia"/>
                <w:color w:val="000000"/>
                <w:sz w:val="24"/>
              </w:rPr>
              <w:t>“</w:t>
            </w:r>
            <w:r>
              <w:rPr>
                <w:color w:val="000000"/>
                <w:sz w:val="24"/>
              </w:rPr>
              <w:t>（二）深入开展工业企业无组织排放治理。开展钢铁、水泥、建材、有色、火电、焦化、铸造等重点行业及燃煤锅炉无组织排放排查，建立管理台账，对物料（含废渣）运输、装卸、储存、转移和工艺过程等无组织排放实施深度治理。易产生扬尘的粉状、粒状物料及燃料应当密闭储存，运输采用密闭皮带、封闭通廊、管状带式输送机或密闭车厢、真空罐车、气力输送等密闭运输方式。厂区料场路面应实施硬化，出入口应配备车轮、车身清洗装置或者采取其他控制措施。装卸过程中，应配备除尘设施，同时采取洒水喷淋措施。物料储存应采用入棚、入仓储存，并设有洒水、喷淋、苫盖等综合措施进行抑尘。工业企业生产过程中，上料系统应密闭运行，生产设备、废气收集、除尘收集系统应同步运行，确保废气有效收集，车间不可有可见烟尘外逸。上料系统、生产设备、废气收集系统或者污染治理设施发生故障或者检修时，应停止运转对应的生产工艺设备，待检修完毕后投入使用。（三）深入开展施工工地扬尘污染治理。严格落实建筑施工扬尘</w:t>
            </w:r>
            <w:r>
              <w:rPr>
                <w:rFonts w:hint="eastAsia"/>
                <w:color w:val="000000"/>
                <w:sz w:val="24"/>
              </w:rPr>
              <w:t>“</w:t>
            </w:r>
            <w:r>
              <w:rPr>
                <w:color w:val="000000"/>
                <w:sz w:val="24"/>
              </w:rPr>
              <w:t>六个百分之百</w:t>
            </w:r>
            <w:r>
              <w:rPr>
                <w:rFonts w:hint="eastAsia"/>
                <w:color w:val="000000"/>
                <w:sz w:val="24"/>
              </w:rPr>
              <w:t>”</w:t>
            </w:r>
            <w:r>
              <w:rPr>
                <w:color w:val="000000"/>
                <w:sz w:val="24"/>
              </w:rPr>
              <w:t>，将防治扬尘污染费用纳入工程造价，规模以上施工工地安装视频监控设施，并接入当地监管平台。各类土石方开挖施工，必须采取有效抑尘措施，确保不产生扬尘污染。暂时不能开工的裸露空置建设用地和因旧城改造、城中村改造、违法建筑拆除等产生的裸露空置地块要及时全部进行覆盖或者绿化。遇有大风或重污染天气</w:t>
            </w:r>
            <w:r>
              <w:rPr>
                <w:rFonts w:hint="eastAsia"/>
                <w:color w:val="000000"/>
                <w:sz w:val="24"/>
              </w:rPr>
              <w:t>，</w:t>
            </w:r>
            <w:r>
              <w:rPr>
                <w:color w:val="000000"/>
                <w:sz w:val="24"/>
              </w:rPr>
              <w:t>应按规定停止土方开挖、回填、拆除等可能产生扬尘的作业，落实重污染天气应急响应扬尘防治差异化管控措施。施工现场渣土、垃圾应及时清运,在场地内堆存的</w:t>
            </w:r>
            <w:r>
              <w:rPr>
                <w:rFonts w:hint="eastAsia"/>
                <w:color w:val="000000"/>
                <w:sz w:val="24"/>
              </w:rPr>
              <w:t>，</w:t>
            </w:r>
            <w:r>
              <w:rPr>
                <w:color w:val="000000"/>
                <w:sz w:val="24"/>
              </w:rPr>
              <w:t>应遮盖密闭式防尘网。扎实开展非道路移动机械监管，做好进出施工现场信息登记，严禁未经信息编码记的非道路移动机械进入施工现场作业。充分发挥大型施工企业、重点项目示范引领和带动作用，适时组织观摩，以点带面，提高扬尘污染防治水平。</w:t>
            </w:r>
            <w:r>
              <w:rPr>
                <w:rFonts w:hint="eastAsia"/>
                <w:color w:val="000000"/>
                <w:sz w:val="24"/>
              </w:rPr>
              <w:t>”</w:t>
            </w:r>
          </w:p>
          <w:p w14:paraId="6DAEE229">
            <w:pPr>
              <w:spacing w:line="360" w:lineRule="auto"/>
              <w:ind w:firstLine="480" w:firstLineChars="200"/>
              <w:rPr>
                <w:color w:val="000000"/>
                <w:sz w:val="24"/>
              </w:rPr>
            </w:pPr>
            <w:r>
              <w:rPr>
                <w:color w:val="000000"/>
                <w:sz w:val="24"/>
              </w:rPr>
              <w:t>本项目原料库全封闭，皮带全封闭，厂区地面硬化，设置洗车平台，装卸过程采取喷淋洒水降尘。</w:t>
            </w:r>
            <w:r>
              <w:rPr>
                <w:rFonts w:hint="eastAsia"/>
                <w:color w:val="000000"/>
                <w:sz w:val="24"/>
              </w:rPr>
              <w:t>施工过程中</w:t>
            </w:r>
            <w:r>
              <w:rPr>
                <w:color w:val="000000"/>
                <w:sz w:val="24"/>
              </w:rPr>
              <w:t>严格落实建筑施工扬尘</w:t>
            </w:r>
            <w:r>
              <w:rPr>
                <w:rFonts w:hint="eastAsia"/>
                <w:color w:val="000000"/>
                <w:sz w:val="24"/>
              </w:rPr>
              <w:t>“</w:t>
            </w:r>
            <w:r>
              <w:rPr>
                <w:color w:val="000000"/>
                <w:sz w:val="24"/>
              </w:rPr>
              <w:t>六个百分之百</w:t>
            </w:r>
            <w:r>
              <w:rPr>
                <w:rFonts w:hint="eastAsia"/>
                <w:color w:val="000000"/>
                <w:sz w:val="24"/>
              </w:rPr>
              <w:t>”</w:t>
            </w:r>
            <w:r>
              <w:rPr>
                <w:color w:val="000000"/>
                <w:sz w:val="24"/>
              </w:rPr>
              <w:t>等防治扬尘措施。本项目建设符合《山西省深入推进扬尘污染防治工作方案》相关要求。</w:t>
            </w:r>
          </w:p>
          <w:p w14:paraId="6927295E">
            <w:pPr>
              <w:autoSpaceDE w:val="0"/>
              <w:autoSpaceDN w:val="0"/>
              <w:adjustRightInd w:val="0"/>
              <w:snapToGrid w:val="0"/>
              <w:spacing w:line="360" w:lineRule="auto"/>
              <w:rPr>
                <w:b/>
                <w:bCs/>
                <w:kern w:val="0"/>
                <w:sz w:val="24"/>
              </w:rPr>
            </w:pPr>
            <w:r>
              <w:rPr>
                <w:b/>
                <w:bCs/>
                <w:kern w:val="0"/>
                <w:sz w:val="24"/>
              </w:rPr>
              <w:t>1.6与《山西省空气质量再提升2022-2023年行动计划》的符合性分析</w:t>
            </w:r>
          </w:p>
          <w:p w14:paraId="1E6AD956">
            <w:pPr>
              <w:autoSpaceDE w:val="0"/>
              <w:adjustRightInd w:val="0"/>
              <w:snapToGrid w:val="0"/>
              <w:spacing w:line="360" w:lineRule="auto"/>
              <w:ind w:firstLine="480" w:firstLineChars="200"/>
              <w:rPr>
                <w:color w:val="000000"/>
                <w:sz w:val="24"/>
                <w:lang w:bidi="ar"/>
              </w:rPr>
            </w:pPr>
            <w:r>
              <w:rPr>
                <w:rFonts w:hint="eastAsia"/>
                <w:color w:val="000000"/>
                <w:sz w:val="24"/>
                <w:lang w:bidi="ar"/>
              </w:rPr>
              <w:t>本项目建设与《山西省空气质量再提升2022-2023年行动计划》中的相关部分的要求相符性分析见表1</w:t>
            </w:r>
            <w:r>
              <w:rPr>
                <w:color w:val="000000"/>
                <w:sz w:val="24"/>
                <w:lang w:bidi="ar"/>
              </w:rPr>
              <w:t>-3</w:t>
            </w:r>
            <w:r>
              <w:rPr>
                <w:rFonts w:hint="eastAsia"/>
                <w:color w:val="000000"/>
                <w:sz w:val="24"/>
                <w:lang w:bidi="ar"/>
              </w:rPr>
              <w:t>。</w:t>
            </w:r>
          </w:p>
          <w:p w14:paraId="04207816">
            <w:pPr>
              <w:pStyle w:val="13"/>
              <w:keepNext/>
              <w:rPr>
                <w:rFonts w:eastAsia="宋体"/>
                <w:b/>
                <w:bCs/>
                <w:sz w:val="21"/>
                <w:szCs w:val="21"/>
                <w:lang w:bidi="ar"/>
              </w:rPr>
            </w:pPr>
            <w:r>
              <w:rPr>
                <w:rFonts w:hint="eastAsia" w:eastAsia="宋体"/>
                <w:b/>
                <w:bCs/>
                <w:sz w:val="21"/>
                <w:szCs w:val="21"/>
                <w:lang w:bidi="ar"/>
              </w:rPr>
              <w:t>表</w:t>
            </w:r>
            <w:r>
              <w:rPr>
                <w:rFonts w:eastAsia="宋体"/>
                <w:b/>
                <w:bCs/>
                <w:sz w:val="21"/>
                <w:szCs w:val="21"/>
                <w:lang w:bidi="ar"/>
              </w:rPr>
              <w:t>1</w:t>
            </w:r>
            <w:r>
              <w:rPr>
                <w:rFonts w:hint="eastAsia" w:eastAsia="宋体"/>
                <w:b/>
                <w:bCs/>
                <w:sz w:val="21"/>
                <w:szCs w:val="21"/>
                <w:lang w:bidi="ar"/>
              </w:rPr>
              <w:t>-</w:t>
            </w:r>
            <w:r>
              <w:rPr>
                <w:rFonts w:eastAsia="宋体"/>
                <w:b/>
                <w:bCs/>
                <w:sz w:val="21"/>
                <w:szCs w:val="21"/>
                <w:lang w:bidi="ar"/>
              </w:rPr>
              <w:t xml:space="preserve">3  </w:t>
            </w:r>
            <w:r>
              <w:rPr>
                <w:rFonts w:hint="eastAsia" w:eastAsia="宋体"/>
                <w:b/>
                <w:bCs/>
                <w:sz w:val="21"/>
                <w:szCs w:val="21"/>
                <w:lang w:bidi="ar"/>
              </w:rPr>
              <w:t>本项目与《山西省空气质量再提升2022-2023年行动计划》的符合性一览表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99"/>
              <w:gridCol w:w="3058"/>
              <w:gridCol w:w="928"/>
            </w:tblGrid>
            <w:tr w14:paraId="62D3D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65" w:type="pct"/>
                  <w:vAlign w:val="center"/>
                </w:tcPr>
                <w:p w14:paraId="6CAB8E2D">
                  <w:pPr>
                    <w:pStyle w:val="34"/>
                    <w:widowControl w:val="0"/>
                    <w:autoSpaceDE w:val="0"/>
                    <w:adjustRightInd w:val="0"/>
                    <w:snapToGrid w:val="0"/>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lang w:bidi="ar"/>
                    </w:rPr>
                    <w:t>相关要求</w:t>
                  </w:r>
                </w:p>
              </w:tc>
              <w:tc>
                <w:tcPr>
                  <w:tcW w:w="1868" w:type="pct"/>
                  <w:vAlign w:val="center"/>
                </w:tcPr>
                <w:p w14:paraId="0C7A384E">
                  <w:pPr>
                    <w:pStyle w:val="34"/>
                    <w:widowControl w:val="0"/>
                    <w:autoSpaceDE w:val="0"/>
                    <w:adjustRightInd w:val="0"/>
                    <w:snapToGrid w:val="0"/>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lang w:bidi="ar"/>
                    </w:rPr>
                    <w:t>本项目</w:t>
                  </w:r>
                </w:p>
              </w:tc>
              <w:tc>
                <w:tcPr>
                  <w:tcW w:w="567" w:type="pct"/>
                  <w:vAlign w:val="center"/>
                </w:tcPr>
                <w:p w14:paraId="47CEC7CD">
                  <w:pPr>
                    <w:pStyle w:val="34"/>
                    <w:widowControl w:val="0"/>
                    <w:autoSpaceDE w:val="0"/>
                    <w:adjustRightInd w:val="0"/>
                    <w:snapToGrid w:val="0"/>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lang w:bidi="ar"/>
                    </w:rPr>
                    <w:t>符合性</w:t>
                  </w:r>
                </w:p>
              </w:tc>
            </w:tr>
            <w:tr w14:paraId="60F66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65" w:type="pct"/>
                  <w:vAlign w:val="center"/>
                </w:tcPr>
                <w:p w14:paraId="7400C1B1">
                  <w:pPr>
                    <w:widowControl/>
                    <w:adjustRightInd w:val="0"/>
                    <w:snapToGrid w:val="0"/>
                    <w:jc w:val="center"/>
                    <w:rPr>
                      <w:color w:val="000000"/>
                      <w:kern w:val="0"/>
                      <w:szCs w:val="21"/>
                      <w:lang w:bidi="ar"/>
                    </w:rPr>
                  </w:pPr>
                  <w:r>
                    <w:rPr>
                      <w:rFonts w:hint="eastAsia"/>
                      <w:color w:val="000000"/>
                      <w:kern w:val="0"/>
                      <w:szCs w:val="21"/>
                      <w:lang w:bidi="ar"/>
                    </w:rPr>
                    <w:t>进一步优化清洁取暖路径，以热电联产、工业余热集中供热为主要方式，集中供热管网覆盖不到的区域，优先采取分布式集中供热，实施连片改造；偏远山区因地制宜采取煤改电等清洁取暖方式作为补充；探索开展地热能清洁取暖改造试点。</w:t>
                  </w:r>
                </w:p>
              </w:tc>
              <w:tc>
                <w:tcPr>
                  <w:tcW w:w="1868" w:type="pct"/>
                  <w:vAlign w:val="center"/>
                </w:tcPr>
                <w:p w14:paraId="5C13871B">
                  <w:pPr>
                    <w:pStyle w:val="34"/>
                    <w:widowControl w:val="0"/>
                    <w:autoSpaceDE w:val="0"/>
                    <w:adjustRightInd w:val="0"/>
                    <w:snapToGrid w:val="0"/>
                    <w:spacing w:before="0" w:beforeAutospacing="0" w:after="0" w:afterAutospacing="0"/>
                    <w:jc w:val="center"/>
                    <w:rPr>
                      <w:rFonts w:ascii="Times New Roman" w:hAnsi="Times New Roman"/>
                      <w:sz w:val="21"/>
                      <w:szCs w:val="21"/>
                      <w:lang w:bidi="ar"/>
                    </w:rPr>
                  </w:pPr>
                  <w:r>
                    <w:rPr>
                      <w:rFonts w:hint="eastAsia" w:ascii="Times New Roman" w:hAnsi="Times New Roman"/>
                      <w:sz w:val="21"/>
                      <w:szCs w:val="21"/>
                      <w:lang w:bidi="ar"/>
                    </w:rPr>
                    <w:t>本项目冬季厂房不进行供暖，办公区供暖方式采用空调供暖。</w:t>
                  </w:r>
                </w:p>
              </w:tc>
              <w:tc>
                <w:tcPr>
                  <w:tcW w:w="567" w:type="pct"/>
                  <w:vAlign w:val="center"/>
                </w:tcPr>
                <w:p w14:paraId="7432EE8C">
                  <w:pPr>
                    <w:autoSpaceDE w:val="0"/>
                    <w:adjustRightInd w:val="0"/>
                    <w:snapToGrid w:val="0"/>
                    <w:jc w:val="center"/>
                    <w:rPr>
                      <w:color w:val="000000"/>
                      <w:kern w:val="0"/>
                      <w:szCs w:val="21"/>
                      <w:lang w:bidi="ar"/>
                    </w:rPr>
                  </w:pPr>
                  <w:r>
                    <w:rPr>
                      <w:rFonts w:hint="eastAsia"/>
                      <w:color w:val="000000"/>
                      <w:kern w:val="0"/>
                      <w:szCs w:val="21"/>
                      <w:lang w:bidi="ar"/>
                    </w:rPr>
                    <w:t>符合</w:t>
                  </w:r>
                </w:p>
              </w:tc>
            </w:tr>
            <w:tr w14:paraId="2B7BF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65" w:type="pct"/>
                  <w:vAlign w:val="center"/>
                </w:tcPr>
                <w:p w14:paraId="67A4786B">
                  <w:pPr>
                    <w:widowControl/>
                    <w:adjustRightInd w:val="0"/>
                    <w:snapToGrid w:val="0"/>
                    <w:jc w:val="center"/>
                    <w:rPr>
                      <w:color w:val="000000"/>
                      <w:kern w:val="0"/>
                      <w:szCs w:val="21"/>
                      <w:lang w:bidi="ar"/>
                    </w:rPr>
                  </w:pPr>
                  <w:r>
                    <w:rPr>
                      <w:rFonts w:hint="eastAsia"/>
                      <w:color w:val="000000"/>
                      <w:kern w:val="0"/>
                      <w:szCs w:val="21"/>
                      <w:lang w:bidi="ar"/>
                    </w:rPr>
                    <w:t>持续优化调整货物运输结构。调整优化货物运输方式，煤炭、焦炭、矿石等大宗货物中长距离运输以铁路为主，无法实施铁路运输的短距离运输及城市建成区、工业园区和企业内部物料转运优先采用封闭式皮带廊道或新能源车辆（包括氢能、甲醇车辆），出省煤炭、焦炭原则上采用铁路运输。加快推进年货运量150万吨以上工矿企业铁路专用线和联运转运衔接设施建设，在铁路专用线建设投运前，公路运输应使用国六排放标准车辆或新能源车辆（包括氢能、甲醇车辆）。</w:t>
                  </w:r>
                </w:p>
              </w:tc>
              <w:tc>
                <w:tcPr>
                  <w:tcW w:w="1868" w:type="pct"/>
                  <w:vAlign w:val="center"/>
                </w:tcPr>
                <w:p w14:paraId="2BAC98E8">
                  <w:pPr>
                    <w:pStyle w:val="34"/>
                    <w:widowControl w:val="0"/>
                    <w:autoSpaceDE w:val="0"/>
                    <w:adjustRightInd w:val="0"/>
                    <w:snapToGrid w:val="0"/>
                    <w:spacing w:before="0" w:beforeAutospacing="0" w:after="0" w:afterAutospacing="0"/>
                    <w:jc w:val="center"/>
                    <w:rPr>
                      <w:rFonts w:ascii="Times New Roman" w:hAnsi="Times New Roman"/>
                      <w:sz w:val="21"/>
                      <w:szCs w:val="21"/>
                      <w:lang w:bidi="ar"/>
                    </w:rPr>
                  </w:pPr>
                  <w:r>
                    <w:rPr>
                      <w:rFonts w:hint="eastAsia" w:ascii="Times New Roman" w:hAnsi="Times New Roman"/>
                      <w:sz w:val="21"/>
                      <w:szCs w:val="21"/>
                      <w:lang w:bidi="ar"/>
                    </w:rPr>
                    <w:t>本项目所有的输送皮带均采用密闭式输送皮带，厂内转运车辆（装载机）采用国四及以上排放标准的重型车或新能源，严格执行《非道路移动机械用柴油机排气污染物排放限值及测量方法(中国第三、四阶段）》（GB 20891—2014）及其修改单中相关排放限值标准；外部运输全部采用新能源汽车或达到国六排放标准的全封闭绿色厢车运输。</w:t>
                  </w:r>
                </w:p>
              </w:tc>
              <w:tc>
                <w:tcPr>
                  <w:tcW w:w="567" w:type="pct"/>
                  <w:vAlign w:val="center"/>
                </w:tcPr>
                <w:p w14:paraId="1772D5AC">
                  <w:pPr>
                    <w:autoSpaceDE w:val="0"/>
                    <w:adjustRightInd w:val="0"/>
                    <w:snapToGrid w:val="0"/>
                    <w:jc w:val="center"/>
                    <w:rPr>
                      <w:color w:val="000000"/>
                      <w:kern w:val="0"/>
                      <w:szCs w:val="21"/>
                      <w:lang w:bidi="ar"/>
                    </w:rPr>
                  </w:pPr>
                  <w:r>
                    <w:rPr>
                      <w:rFonts w:hint="eastAsia"/>
                      <w:color w:val="000000"/>
                      <w:kern w:val="0"/>
                      <w:szCs w:val="21"/>
                      <w:lang w:bidi="ar"/>
                    </w:rPr>
                    <w:t>符合</w:t>
                  </w:r>
                </w:p>
              </w:tc>
            </w:tr>
          </w:tbl>
          <w:p w14:paraId="4D8E12DF">
            <w:pPr>
              <w:adjustRightInd w:val="0"/>
              <w:snapToGrid w:val="0"/>
              <w:spacing w:line="360" w:lineRule="auto"/>
              <w:rPr>
                <w:b/>
                <w:bCs/>
                <w:sz w:val="24"/>
              </w:rPr>
            </w:pPr>
            <w:r>
              <w:rPr>
                <w:b/>
                <w:bCs/>
                <w:sz w:val="24"/>
              </w:rPr>
              <w:t>1.7</w:t>
            </w:r>
            <w:r>
              <w:rPr>
                <w:rFonts w:hint="eastAsia"/>
                <w:b/>
                <w:bCs/>
                <w:sz w:val="24"/>
              </w:rPr>
              <w:t>与方山县国土空间总体规划（2021-2035年）符合性分析</w:t>
            </w:r>
          </w:p>
          <w:p w14:paraId="5E76C0FD">
            <w:pPr>
              <w:pStyle w:val="348"/>
              <w:adjustRightInd/>
              <w:spacing w:line="360" w:lineRule="auto"/>
              <w:ind w:firstLine="480" w:firstLineChars="200"/>
              <w:jc w:val="both"/>
            </w:pPr>
            <w:r>
              <w:rPr>
                <w:rFonts w:hint="eastAsia"/>
              </w:rPr>
              <w:t>（1）规划定位</w:t>
            </w:r>
          </w:p>
          <w:p w14:paraId="0CD68ACC">
            <w:pPr>
              <w:pStyle w:val="348"/>
              <w:adjustRightInd/>
              <w:spacing w:line="360" w:lineRule="auto"/>
              <w:ind w:firstLine="480" w:firstLineChars="200"/>
              <w:jc w:val="both"/>
            </w:pPr>
            <w:r>
              <w:rPr>
                <w:rFonts w:hint="eastAsia"/>
              </w:rPr>
              <w:t>吕梁山水源涵养与生物多样性保护关键区、山西省沿黄自然人文和谐共生的生态文化旅游目的地、“离柳中方”城镇组群北部宜居、宜游、宜养的生态、开放之城。</w:t>
            </w:r>
          </w:p>
          <w:p w14:paraId="1D976245">
            <w:pPr>
              <w:pStyle w:val="348"/>
              <w:adjustRightInd/>
              <w:spacing w:line="360" w:lineRule="auto"/>
              <w:ind w:firstLine="480" w:firstLineChars="200"/>
              <w:jc w:val="both"/>
            </w:pPr>
            <w:r>
              <w:rPr>
                <w:rFonts w:hint="eastAsia"/>
              </w:rPr>
              <w:t>（2）规划目标</w:t>
            </w:r>
          </w:p>
          <w:p w14:paraId="53A1A058">
            <w:pPr>
              <w:pStyle w:val="348"/>
              <w:adjustRightInd/>
              <w:spacing w:line="360" w:lineRule="auto"/>
              <w:ind w:firstLine="480" w:firstLineChars="200"/>
              <w:jc w:val="both"/>
            </w:pPr>
            <w:r>
              <w:t>2025</w:t>
            </w:r>
            <w:r>
              <w:rPr>
                <w:rFonts w:hint="eastAsia"/>
              </w:rPr>
              <w:t>年近期目标：“三生空间”协调格局雏形初现，国土空间治理体系初步建立；</w:t>
            </w:r>
            <w:r>
              <w:t>2035</w:t>
            </w:r>
            <w:r>
              <w:rPr>
                <w:rFonts w:hint="eastAsia"/>
              </w:rPr>
              <w:t>年远期目标：国土空间开发保护格局基本形成，国土空间治理体系和治理能力达到现代化水平；</w:t>
            </w:r>
            <w:r>
              <w:t>2050</w:t>
            </w:r>
            <w:r>
              <w:rPr>
                <w:rFonts w:hint="eastAsia"/>
              </w:rPr>
              <w:t>年远景展望：国土空间生命共同体格局全面形成。</w:t>
            </w:r>
          </w:p>
          <w:p w14:paraId="7A914168">
            <w:pPr>
              <w:pStyle w:val="348"/>
              <w:adjustRightInd/>
              <w:spacing w:line="360" w:lineRule="auto"/>
              <w:ind w:firstLine="480" w:firstLineChars="200"/>
              <w:jc w:val="both"/>
            </w:pPr>
            <w:r>
              <w:rPr>
                <w:rFonts w:hint="eastAsia"/>
              </w:rPr>
              <w:t>（3）规划战略</w:t>
            </w:r>
          </w:p>
          <w:p w14:paraId="31873322">
            <w:pPr>
              <w:pStyle w:val="348"/>
              <w:adjustRightInd/>
              <w:spacing w:line="360" w:lineRule="auto"/>
              <w:ind w:firstLine="480" w:firstLineChars="200"/>
              <w:jc w:val="both"/>
            </w:pPr>
            <w:r>
              <w:rPr>
                <w:rFonts w:hint="eastAsia" w:ascii="Cambria Math" w:hAnsi="Cambria Math" w:cs="Cambria Math"/>
              </w:rPr>
              <w:t>①</w:t>
            </w:r>
            <w:r>
              <w:rPr>
                <w:rFonts w:hint="eastAsia"/>
              </w:rPr>
              <w:t>落实主体功能区定位，强化生态保护“固本培元”。</w:t>
            </w:r>
          </w:p>
          <w:p w14:paraId="2AC17F09">
            <w:pPr>
              <w:pStyle w:val="348"/>
              <w:adjustRightInd/>
              <w:spacing w:line="360" w:lineRule="auto"/>
              <w:ind w:firstLine="480" w:firstLineChars="200"/>
              <w:jc w:val="both"/>
            </w:pPr>
            <w:r>
              <w:rPr>
                <w:rFonts w:hint="eastAsia" w:ascii="Cambria Math" w:hAnsi="Cambria Math" w:cs="Cambria Math"/>
              </w:rPr>
              <w:t>②</w:t>
            </w:r>
            <w:r>
              <w:rPr>
                <w:rFonts w:hint="eastAsia"/>
              </w:rPr>
              <w:t>强化区域协调共享，建立区域协同发展的治理体系。</w:t>
            </w:r>
          </w:p>
          <w:p w14:paraId="5C335462">
            <w:pPr>
              <w:pStyle w:val="348"/>
              <w:adjustRightInd/>
              <w:spacing w:line="360" w:lineRule="auto"/>
              <w:ind w:firstLine="480" w:firstLineChars="200"/>
              <w:jc w:val="both"/>
            </w:pPr>
            <w:r>
              <w:rPr>
                <w:rFonts w:hint="eastAsia" w:ascii="Cambria Math" w:hAnsi="Cambria Math" w:cs="Cambria Math"/>
              </w:rPr>
              <w:t>③</w:t>
            </w:r>
            <w:r>
              <w:rPr>
                <w:rFonts w:hint="eastAsia"/>
              </w:rPr>
              <w:t>推进国土空间结构优化，实现全域国土空间高效利用。</w:t>
            </w:r>
          </w:p>
          <w:p w14:paraId="383924D2">
            <w:pPr>
              <w:pStyle w:val="348"/>
              <w:adjustRightInd/>
              <w:spacing w:line="360" w:lineRule="auto"/>
              <w:ind w:firstLine="480" w:firstLineChars="200"/>
              <w:jc w:val="both"/>
            </w:pPr>
            <w:r>
              <w:rPr>
                <w:rFonts w:hint="eastAsia" w:ascii="Cambria Math" w:hAnsi="Cambria Math" w:cs="Cambria Math"/>
              </w:rPr>
              <w:t>④</w:t>
            </w:r>
            <w:r>
              <w:rPr>
                <w:rFonts w:hint="eastAsia"/>
              </w:rPr>
              <w:t>推进城乡一体空间体系建设，建立高效的县城镇化格局。</w:t>
            </w:r>
          </w:p>
          <w:p w14:paraId="03465161">
            <w:pPr>
              <w:pStyle w:val="348"/>
              <w:adjustRightInd/>
              <w:spacing w:line="360" w:lineRule="auto"/>
              <w:ind w:firstLine="480" w:firstLineChars="200"/>
              <w:jc w:val="both"/>
            </w:pPr>
            <w:r>
              <w:rPr>
                <w:rFonts w:hint="eastAsia" w:ascii="Cambria Math" w:hAnsi="Cambria Math" w:cs="Cambria Math"/>
              </w:rPr>
              <w:t>⑤</w:t>
            </w:r>
            <w:r>
              <w:rPr>
                <w:rFonts w:hint="eastAsia"/>
              </w:rPr>
              <w:t>整合区域生态文化旅游资源，打造省级生态文旅示范区。</w:t>
            </w:r>
          </w:p>
          <w:p w14:paraId="3BAC957C">
            <w:pPr>
              <w:pStyle w:val="348"/>
              <w:adjustRightInd/>
              <w:spacing w:line="360" w:lineRule="auto"/>
              <w:ind w:firstLine="480" w:firstLineChars="200"/>
              <w:jc w:val="both"/>
            </w:pPr>
            <w:r>
              <w:rPr>
                <w:rFonts w:hint="eastAsia" w:ascii="Cambria Math" w:hAnsi="Cambria Math" w:cs="Cambria Math"/>
              </w:rPr>
              <w:t>⑥</w:t>
            </w:r>
            <w:r>
              <w:rPr>
                <w:rFonts w:hint="eastAsia"/>
              </w:rPr>
              <w:t>塑造城乡特色空间，优化城乡人居环境品质。</w:t>
            </w:r>
          </w:p>
          <w:p w14:paraId="66EF8612">
            <w:pPr>
              <w:pStyle w:val="348"/>
              <w:adjustRightInd/>
              <w:spacing w:line="360" w:lineRule="auto"/>
              <w:ind w:firstLine="480" w:firstLineChars="200"/>
              <w:jc w:val="both"/>
            </w:pPr>
            <w:r>
              <w:rPr>
                <w:rFonts w:hint="eastAsia"/>
              </w:rPr>
              <w:t>（4）国土空间保护开发格局</w:t>
            </w:r>
          </w:p>
          <w:p w14:paraId="0DF75116">
            <w:pPr>
              <w:pStyle w:val="348"/>
              <w:adjustRightInd/>
              <w:spacing w:line="360" w:lineRule="auto"/>
              <w:ind w:firstLine="480" w:firstLineChars="200"/>
              <w:jc w:val="both"/>
            </w:pPr>
            <w:r>
              <w:rPr>
                <w:rFonts w:hint="eastAsia"/>
              </w:rPr>
              <w:t>构建“一轴一带、两心三区”的国土空间总体格局。</w:t>
            </w:r>
          </w:p>
          <w:p w14:paraId="63EE65B9">
            <w:pPr>
              <w:pStyle w:val="348"/>
              <w:adjustRightInd/>
              <w:spacing w:line="360" w:lineRule="auto"/>
              <w:ind w:firstLine="480" w:firstLineChars="200"/>
              <w:jc w:val="both"/>
            </w:pPr>
            <w:r>
              <w:rPr>
                <w:rFonts w:hint="eastAsia"/>
              </w:rPr>
              <w:t>一轴：即</w:t>
            </w:r>
            <w:r>
              <w:t>209</w:t>
            </w:r>
            <w:r>
              <w:rPr>
                <w:rFonts w:hint="eastAsia"/>
              </w:rPr>
              <w:t>国道南北经济发展轴，对整个县城发展起到带动作用；</w:t>
            </w:r>
          </w:p>
          <w:p w14:paraId="4BC154E8">
            <w:pPr>
              <w:pStyle w:val="348"/>
              <w:adjustRightInd/>
              <w:spacing w:line="360" w:lineRule="auto"/>
              <w:ind w:firstLine="480" w:firstLineChars="200"/>
              <w:jc w:val="both"/>
            </w:pPr>
            <w:r>
              <w:rPr>
                <w:rFonts w:hint="eastAsia"/>
              </w:rPr>
              <w:t>一带：即北武当生态旅游发展带；</w:t>
            </w:r>
          </w:p>
          <w:p w14:paraId="52E314EF">
            <w:pPr>
              <w:pStyle w:val="348"/>
              <w:adjustRightInd/>
              <w:spacing w:line="360" w:lineRule="auto"/>
              <w:ind w:firstLine="480" w:firstLineChars="200"/>
              <w:jc w:val="both"/>
            </w:pPr>
            <w:r>
              <w:rPr>
                <w:rFonts w:hint="eastAsia"/>
              </w:rPr>
              <w:t>两心：即县城中西南城区圪洞镇和次中心城区大武镇；以中心城区为全域发展核心，优化内部功能组织，增强中心区域对周边地区的辐射带动作用，提升中心城区对人口、产业等资源要素的集聚能力和承载能力。</w:t>
            </w:r>
          </w:p>
          <w:p w14:paraId="6CA6E7B1">
            <w:pPr>
              <w:pStyle w:val="348"/>
              <w:adjustRightInd/>
              <w:spacing w:line="360" w:lineRule="auto"/>
              <w:ind w:firstLine="480" w:firstLineChars="200"/>
              <w:jc w:val="both"/>
            </w:pPr>
            <w:r>
              <w:rPr>
                <w:rFonts w:hint="eastAsia"/>
              </w:rPr>
              <w:t>三区：即北部发展片区、中部发展片区和南部发展片区。北部发展片区发挥区域的生态资源优势及区位优势，形成以生态农业、林业、养殖业为主导的绿色农业发展区。中部发展片区依托方山县生态旅游示范区建设，发展生态旅游业，形成方山县重要的城镇功能集聚区、山林生态保育区和文化旅游资源聚集区。南部发展片区依托大武新区发展，重点发展城市生活、商业休闲、物流配送等城市服务产业，为城市可持续发展提供动力。</w:t>
            </w:r>
          </w:p>
          <w:p w14:paraId="5A136D75">
            <w:pPr>
              <w:pStyle w:val="348"/>
              <w:adjustRightInd/>
              <w:spacing w:line="360" w:lineRule="auto"/>
              <w:ind w:firstLine="480" w:firstLineChars="200"/>
              <w:jc w:val="both"/>
            </w:pPr>
            <w:r>
              <w:rPr>
                <w:rFonts w:hint="eastAsia"/>
              </w:rPr>
              <w:t>（5）统筹划定落实三条控制线</w:t>
            </w:r>
          </w:p>
          <w:p w14:paraId="365AFA98">
            <w:pPr>
              <w:pStyle w:val="348"/>
              <w:adjustRightInd/>
              <w:spacing w:line="360" w:lineRule="auto"/>
              <w:ind w:firstLine="480" w:firstLineChars="200"/>
              <w:jc w:val="both"/>
            </w:pPr>
            <w:r>
              <w:rPr>
                <w:rFonts w:hint="eastAsia" w:ascii="Cambria Math" w:hAnsi="Cambria Math" w:cs="Cambria Math"/>
              </w:rPr>
              <w:t>①</w:t>
            </w:r>
            <w:r>
              <w:rPr>
                <w:rFonts w:hint="eastAsia"/>
              </w:rPr>
              <w:t>科学评估调整生态保护红线</w:t>
            </w:r>
          </w:p>
          <w:p w14:paraId="5B4C71EF">
            <w:pPr>
              <w:pStyle w:val="348"/>
              <w:adjustRightInd/>
              <w:spacing w:line="360" w:lineRule="auto"/>
              <w:ind w:firstLine="480" w:firstLineChars="200"/>
              <w:jc w:val="both"/>
            </w:pPr>
            <w:r>
              <w:rPr>
                <w:rFonts w:hint="eastAsia"/>
              </w:rPr>
              <w:t>严格保护自然保护地、生态功能重要区域和生态敏感区域。维系区域生态安全的底线，确保面积不减少，功能不降低、性质不改变，实行最严格的管控，除规定外原则上禁止占用。</w:t>
            </w:r>
          </w:p>
          <w:p w14:paraId="1EBBBA10">
            <w:pPr>
              <w:pStyle w:val="348"/>
              <w:adjustRightInd/>
              <w:spacing w:line="360" w:lineRule="auto"/>
              <w:ind w:firstLine="480" w:firstLineChars="200"/>
              <w:jc w:val="both"/>
            </w:pPr>
            <w:r>
              <w:rPr>
                <w:rFonts w:hint="eastAsia" w:ascii="Cambria Math" w:hAnsi="Cambria Math" w:cs="Cambria Math"/>
              </w:rPr>
              <w:t>②</w:t>
            </w:r>
            <w:r>
              <w:rPr>
                <w:rFonts w:hint="eastAsia"/>
              </w:rPr>
              <w:t>从严核实优化永久基本农田</w:t>
            </w:r>
          </w:p>
          <w:p w14:paraId="22DDC24B">
            <w:pPr>
              <w:pStyle w:val="348"/>
              <w:adjustRightInd/>
              <w:spacing w:line="360" w:lineRule="auto"/>
              <w:ind w:firstLine="480" w:firstLineChars="200"/>
              <w:jc w:val="both"/>
            </w:pPr>
            <w:r>
              <w:rPr>
                <w:rFonts w:hint="eastAsia"/>
              </w:rPr>
              <w:t>严格落实永久基本农田保护任务，对永久基本农田进行正向优化。保障区域粮食安全和重要农产品供给的底线，永久基本农田实行永久特殊保护，不得擅自占用或改变用途。</w:t>
            </w:r>
          </w:p>
          <w:p w14:paraId="30737FDA">
            <w:pPr>
              <w:pStyle w:val="348"/>
              <w:adjustRightInd/>
              <w:spacing w:line="360" w:lineRule="auto"/>
              <w:ind w:firstLine="480" w:firstLineChars="200"/>
              <w:jc w:val="both"/>
              <w:rPr>
                <w:rFonts w:ascii="Cambria Math" w:hAnsi="Cambria Math" w:cs="Cambria Math"/>
              </w:rPr>
            </w:pPr>
          </w:p>
          <w:p w14:paraId="59FCA868">
            <w:pPr>
              <w:pStyle w:val="348"/>
              <w:adjustRightInd/>
              <w:spacing w:line="360" w:lineRule="auto"/>
              <w:ind w:firstLine="480" w:firstLineChars="200"/>
              <w:jc w:val="both"/>
            </w:pPr>
            <w:r>
              <w:rPr>
                <w:rFonts w:hint="eastAsia" w:ascii="Cambria Math" w:hAnsi="Cambria Math" w:cs="Cambria Math"/>
              </w:rPr>
              <w:t>③</w:t>
            </w:r>
            <w:r>
              <w:rPr>
                <w:rFonts w:hint="eastAsia"/>
              </w:rPr>
              <w:t>合理适度确定城镇开发边界</w:t>
            </w:r>
          </w:p>
          <w:p w14:paraId="4CD5924B">
            <w:pPr>
              <w:pStyle w:val="348"/>
              <w:adjustRightInd/>
              <w:spacing w:line="360" w:lineRule="auto"/>
              <w:ind w:firstLine="480" w:firstLineChars="200"/>
              <w:jc w:val="both"/>
            </w:pPr>
            <w:r>
              <w:rPr>
                <w:rFonts w:hint="eastAsia"/>
              </w:rPr>
              <w:t>按照集约适度、绿色发展的理念，科学规划城镇总体空间格局，确定城镇集中建设区规模。确定城镇未来发展的空间边界，处理好城镇开发边界与生态保护红线和永久基本农田的关系，引导城镇开发建设由外延扩张向内涵提升转变。</w:t>
            </w:r>
          </w:p>
          <w:p w14:paraId="385A3265">
            <w:pPr>
              <w:pStyle w:val="348"/>
              <w:adjustRightInd/>
              <w:spacing w:line="360" w:lineRule="auto"/>
              <w:ind w:firstLine="480" w:firstLineChars="200"/>
              <w:jc w:val="both"/>
            </w:pPr>
            <w:r>
              <w:rPr>
                <w:rFonts w:hint="eastAsia"/>
              </w:rPr>
              <w:t>本项目位于方山县峪口镇呼家湾村，在方山县国土空间总体规划</w:t>
            </w:r>
            <w:r>
              <w:t>209</w:t>
            </w:r>
            <w:r>
              <w:rPr>
                <w:rFonts w:hint="eastAsia"/>
              </w:rPr>
              <w:t>国道南北经济发展轴上，项目的建设区域不涉及自然保护区、生态功能重要区域、生态敏感区域、基本农田及生态保护红线等。项目</w:t>
            </w:r>
            <w:bookmarkStart w:id="2" w:name="_Hlk174346738"/>
            <w:r>
              <w:rPr>
                <w:rFonts w:hint="eastAsia"/>
              </w:rPr>
              <w:t>与方山县国土空间总体规划（</w:t>
            </w:r>
            <w:r>
              <w:t>2021-2035</w:t>
            </w:r>
            <w:r>
              <w:rPr>
                <w:rFonts w:hint="eastAsia"/>
              </w:rPr>
              <w:t>年）位置关系</w:t>
            </w:r>
            <w:bookmarkEnd w:id="2"/>
            <w:r>
              <w:rPr>
                <w:rFonts w:hint="eastAsia"/>
              </w:rPr>
              <w:t>见附图</w:t>
            </w:r>
            <w:r>
              <w:t>4</w:t>
            </w:r>
            <w:r>
              <w:rPr>
                <w:rFonts w:hint="eastAsia"/>
              </w:rPr>
              <w:t>。因此本项目的建设符合方山县国土空间总体规划（</w:t>
            </w:r>
            <w:r>
              <w:t>2021-2035</w:t>
            </w:r>
            <w:r>
              <w:rPr>
                <w:rFonts w:hint="eastAsia"/>
              </w:rPr>
              <w:t>年）发展要求。</w:t>
            </w:r>
          </w:p>
          <w:p w14:paraId="774C1CC9">
            <w:pPr>
              <w:autoSpaceDE w:val="0"/>
              <w:autoSpaceDN w:val="0"/>
              <w:adjustRightInd w:val="0"/>
              <w:snapToGrid w:val="0"/>
              <w:spacing w:line="360" w:lineRule="auto"/>
              <w:ind w:firstLine="480" w:firstLineChars="200"/>
              <w:rPr>
                <w:rFonts w:hint="eastAsia" w:ascii="宋体" w:hAnsi="宋体" w:cs="宋体"/>
                <w:kern w:val="0"/>
                <w:szCs w:val="21"/>
              </w:rPr>
            </w:pPr>
            <w:r>
              <w:rPr>
                <w:kern w:val="0"/>
                <w:sz w:val="24"/>
              </w:rPr>
              <w:t>本项目租用</w:t>
            </w:r>
            <w:r>
              <w:rPr>
                <w:rFonts w:hint="eastAsia"/>
                <w:kern w:val="0"/>
                <w:sz w:val="24"/>
              </w:rPr>
              <w:t>峪口镇呼家湾村2.2618公顷土地</w:t>
            </w:r>
            <w:r>
              <w:rPr>
                <w:kern w:val="0"/>
                <w:sz w:val="24"/>
              </w:rPr>
              <w:t>，根据吕梁市澜德测绘咨询有限公司出具的《土地勘测定界技术报告书》，</w:t>
            </w:r>
            <w:r>
              <w:rPr>
                <w:rFonts w:hint="eastAsia"/>
                <w:kern w:val="0"/>
                <w:sz w:val="24"/>
              </w:rPr>
              <w:t>本项目占地面积2.2618公顷，土地利用类型为其他草地，2024年6月21日方山县自然资源局出具了本项目用地证明，证明项目占地为非耕地、非基本农用土地，可作为本项目建设用地。证明文件见附件4。土地利用现状图见附图</w:t>
            </w:r>
            <w:r>
              <w:rPr>
                <w:kern w:val="0"/>
                <w:sz w:val="24"/>
              </w:rPr>
              <w:t>5</w:t>
            </w:r>
            <w:r>
              <w:rPr>
                <w:rFonts w:hint="eastAsia"/>
                <w:kern w:val="0"/>
                <w:sz w:val="24"/>
              </w:rPr>
              <w:t>。土地勘界见附图</w:t>
            </w:r>
            <w:r>
              <w:rPr>
                <w:kern w:val="0"/>
                <w:sz w:val="24"/>
              </w:rPr>
              <w:t>6</w:t>
            </w:r>
            <w:r>
              <w:rPr>
                <w:rFonts w:hint="eastAsia"/>
                <w:kern w:val="0"/>
                <w:sz w:val="24"/>
              </w:rPr>
              <w:t>。</w:t>
            </w:r>
          </w:p>
        </w:tc>
      </w:tr>
    </w:tbl>
    <w:p w14:paraId="3456EDF0">
      <w:pPr>
        <w:pStyle w:val="34"/>
        <w:jc w:val="center"/>
        <w:outlineLvl w:val="0"/>
        <w:rPr>
          <w:rFonts w:hint="eastAsia" w:ascii="黑体" w:hAnsi="黑体" w:eastAsia="黑体"/>
          <w:snapToGrid w:val="0"/>
          <w:sz w:val="30"/>
          <w:szCs w:val="30"/>
        </w:rPr>
        <w:sectPr>
          <w:pgSz w:w="11906" w:h="16838"/>
          <w:pgMar w:top="1701" w:right="1531" w:bottom="1701" w:left="1531" w:header="851" w:footer="851" w:gutter="0"/>
          <w:pgNumType w:fmt="numberInDash"/>
          <w:cols w:space="720" w:num="1"/>
          <w:docGrid w:linePitch="312" w:charSpace="0"/>
        </w:sectPr>
      </w:pPr>
    </w:p>
    <w:p w14:paraId="1E1B81E6">
      <w:pPr>
        <w:pStyle w:val="34"/>
        <w:jc w:val="center"/>
        <w:outlineLvl w:val="0"/>
        <w:rPr>
          <w:rFonts w:hint="eastAsia" w:ascii="黑体" w:hAnsi="黑体" w:eastAsia="黑体"/>
          <w:snapToGrid w:val="0"/>
          <w:sz w:val="30"/>
          <w:szCs w:val="30"/>
        </w:rPr>
      </w:pPr>
      <w:r>
        <w:rPr>
          <w:rFonts w:hint="eastAsia" w:ascii="黑体" w:hAnsi="黑体" w:eastAsia="黑体"/>
          <w:snapToGrid w:val="0"/>
          <w:sz w:val="30"/>
          <w:szCs w:val="30"/>
        </w:rPr>
        <w:t>二、建设项目工程分析</w:t>
      </w: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8301"/>
      </w:tblGrid>
      <w:tr w14:paraId="3E6CE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523" w:type="dxa"/>
            <w:vAlign w:val="center"/>
          </w:tcPr>
          <w:p w14:paraId="20531DC3">
            <w:pPr>
              <w:pStyle w:val="34"/>
              <w:adjustRightInd w:val="0"/>
              <w:snapToGrid w:val="0"/>
              <w:spacing w:before="0" w:beforeAutospacing="0" w:after="0" w:afterAutospacing="0"/>
              <w:jc w:val="center"/>
              <w:rPr>
                <w:rFonts w:hint="eastAsia" w:cs="宋体"/>
                <w:sz w:val="21"/>
                <w:szCs w:val="21"/>
              </w:rPr>
            </w:pPr>
            <w:r>
              <w:rPr>
                <w:rFonts w:hint="eastAsia" w:cs="宋体"/>
                <w:sz w:val="21"/>
                <w:szCs w:val="21"/>
              </w:rPr>
              <w:t>建设内容</w:t>
            </w:r>
          </w:p>
        </w:tc>
        <w:tc>
          <w:tcPr>
            <w:tcW w:w="8301" w:type="dxa"/>
            <w:vAlign w:val="center"/>
          </w:tcPr>
          <w:p w14:paraId="2FA98713">
            <w:pPr>
              <w:adjustRightInd w:val="0"/>
              <w:snapToGrid w:val="0"/>
              <w:spacing w:line="360" w:lineRule="auto"/>
              <w:rPr>
                <w:b/>
                <w:color w:val="000000"/>
                <w:sz w:val="24"/>
              </w:rPr>
            </w:pPr>
            <w:r>
              <w:rPr>
                <w:b/>
                <w:bCs/>
                <w:sz w:val="24"/>
              </w:rPr>
              <w:t>2.1</w:t>
            </w:r>
            <w:r>
              <w:rPr>
                <w:rFonts w:hint="eastAsia"/>
                <w:b/>
                <w:color w:val="000000"/>
                <w:sz w:val="24"/>
              </w:rPr>
              <w:t>项目概况</w:t>
            </w:r>
          </w:p>
          <w:p w14:paraId="15AFB773">
            <w:pPr>
              <w:adjustRightInd w:val="0"/>
              <w:snapToGrid w:val="0"/>
              <w:spacing w:line="360" w:lineRule="auto"/>
              <w:ind w:firstLine="480" w:firstLineChars="200"/>
              <w:rPr>
                <w:bCs/>
                <w:color w:val="000000"/>
                <w:sz w:val="24"/>
              </w:rPr>
            </w:pPr>
            <w:r>
              <w:rPr>
                <w:rFonts w:hint="eastAsia"/>
                <w:bCs/>
                <w:color w:val="000000"/>
                <w:sz w:val="24"/>
              </w:rPr>
              <w:t>项目名称：</w:t>
            </w:r>
            <w:r>
              <w:rPr>
                <w:color w:val="000000"/>
                <w:sz w:val="24"/>
              </w:rPr>
              <w:t>20</w:t>
            </w:r>
            <w:r>
              <w:rPr>
                <w:rFonts w:hint="eastAsia"/>
                <w:color w:val="000000"/>
                <w:sz w:val="24"/>
              </w:rPr>
              <w:t>万吨干粉砂浆生产线</w:t>
            </w:r>
          </w:p>
          <w:p w14:paraId="111D7E90">
            <w:pPr>
              <w:adjustRightInd w:val="0"/>
              <w:snapToGrid w:val="0"/>
              <w:spacing w:line="360" w:lineRule="auto"/>
              <w:ind w:firstLine="480" w:firstLineChars="200"/>
              <w:rPr>
                <w:bCs/>
                <w:color w:val="000000"/>
                <w:sz w:val="24"/>
              </w:rPr>
            </w:pPr>
            <w:r>
              <w:rPr>
                <w:rFonts w:hint="eastAsia"/>
                <w:bCs/>
                <w:color w:val="000000"/>
                <w:sz w:val="24"/>
              </w:rPr>
              <w:t>建设单位：</w:t>
            </w:r>
            <w:r>
              <w:rPr>
                <w:rFonts w:hint="eastAsia"/>
                <w:color w:val="000000"/>
                <w:sz w:val="24"/>
              </w:rPr>
              <w:t>山西鸿升工贸能源有限责任公司</w:t>
            </w:r>
          </w:p>
          <w:p w14:paraId="338D0E3D">
            <w:pPr>
              <w:adjustRightInd w:val="0"/>
              <w:snapToGrid w:val="0"/>
              <w:spacing w:line="360" w:lineRule="auto"/>
              <w:ind w:firstLine="480" w:firstLineChars="200"/>
              <w:rPr>
                <w:bCs/>
                <w:color w:val="000000"/>
                <w:sz w:val="24"/>
              </w:rPr>
            </w:pPr>
            <w:r>
              <w:rPr>
                <w:rFonts w:hint="eastAsia"/>
                <w:bCs/>
                <w:color w:val="000000"/>
                <w:sz w:val="24"/>
              </w:rPr>
              <w:t>建设性质：新建</w:t>
            </w:r>
          </w:p>
          <w:p w14:paraId="45680F47">
            <w:pPr>
              <w:adjustRightInd w:val="0"/>
              <w:snapToGrid w:val="0"/>
              <w:spacing w:line="360" w:lineRule="auto"/>
              <w:ind w:firstLine="480" w:firstLineChars="200"/>
              <w:rPr>
                <w:bCs/>
                <w:color w:val="000000"/>
                <w:sz w:val="24"/>
              </w:rPr>
            </w:pPr>
            <w:r>
              <w:rPr>
                <w:rFonts w:hint="eastAsia"/>
                <w:bCs/>
                <w:color w:val="000000"/>
                <w:sz w:val="24"/>
              </w:rPr>
              <w:t>生产规模：干粉砂浆2</w:t>
            </w:r>
            <w:r>
              <w:rPr>
                <w:bCs/>
                <w:color w:val="000000"/>
                <w:sz w:val="24"/>
              </w:rPr>
              <w:t>0</w:t>
            </w:r>
            <w:r>
              <w:rPr>
                <w:rFonts w:hint="eastAsia"/>
                <w:bCs/>
                <w:color w:val="000000"/>
                <w:sz w:val="24"/>
              </w:rPr>
              <w:t>万吨</w:t>
            </w:r>
            <w:r>
              <w:rPr>
                <w:bCs/>
                <w:color w:val="000000"/>
                <w:sz w:val="24"/>
              </w:rPr>
              <w:t>/</w:t>
            </w:r>
            <w:r>
              <w:rPr>
                <w:rFonts w:hint="eastAsia"/>
                <w:bCs/>
                <w:color w:val="000000"/>
                <w:sz w:val="24"/>
              </w:rPr>
              <w:t>年</w:t>
            </w:r>
          </w:p>
          <w:p w14:paraId="441EFDD2">
            <w:pPr>
              <w:adjustRightInd w:val="0"/>
              <w:snapToGrid w:val="0"/>
              <w:spacing w:line="360" w:lineRule="auto"/>
              <w:ind w:firstLine="480" w:firstLineChars="200"/>
              <w:rPr>
                <w:bCs/>
                <w:color w:val="000000"/>
                <w:sz w:val="24"/>
              </w:rPr>
            </w:pPr>
            <w:r>
              <w:rPr>
                <w:rFonts w:hint="eastAsia"/>
                <w:bCs/>
                <w:color w:val="000000"/>
                <w:sz w:val="24"/>
              </w:rPr>
              <w:t>投资规模：303万</w:t>
            </w:r>
          </w:p>
          <w:p w14:paraId="73FC31C2">
            <w:pPr>
              <w:spacing w:line="360" w:lineRule="auto"/>
              <w:ind w:firstLine="480" w:firstLineChars="200"/>
              <w:rPr>
                <w:b/>
                <w:color w:val="000000"/>
                <w:sz w:val="24"/>
              </w:rPr>
            </w:pPr>
            <w:r>
              <w:rPr>
                <w:rFonts w:hint="eastAsia" w:ascii="宋体" w:hAnsi="宋体" w:cs="宋体"/>
                <w:sz w:val="24"/>
              </w:rPr>
              <w:t>建设内容：项目规划总用地</w:t>
            </w:r>
            <w:r>
              <w:rPr>
                <w:rFonts w:hint="eastAsia"/>
                <w:bCs/>
                <w:color w:val="000000"/>
                <w:sz w:val="24"/>
              </w:rPr>
              <w:t>面</w:t>
            </w:r>
            <w:r>
              <w:rPr>
                <w:rFonts w:hint="eastAsia"/>
                <w:bCs/>
                <w:sz w:val="24"/>
              </w:rPr>
              <w:t>积22618m</w:t>
            </w:r>
            <w:r>
              <w:rPr>
                <w:rFonts w:hint="eastAsia"/>
                <w:bCs/>
                <w:sz w:val="24"/>
                <w:vertAlign w:val="superscript"/>
              </w:rPr>
              <w:t>2</w:t>
            </w:r>
            <w:r>
              <w:rPr>
                <w:rFonts w:hint="eastAsia"/>
                <w:bCs/>
                <w:sz w:val="24"/>
              </w:rPr>
              <w:t>（约合33.927亩），实际厂区占地面积6200m</w:t>
            </w:r>
            <w:r>
              <w:rPr>
                <w:bCs/>
                <w:sz w:val="24"/>
                <w:vertAlign w:val="superscript"/>
              </w:rPr>
              <w:t>2</w:t>
            </w:r>
            <w:r>
              <w:rPr>
                <w:rFonts w:hint="eastAsia"/>
                <w:bCs/>
                <w:sz w:val="24"/>
              </w:rPr>
              <w:t>，西侧厂区占地面积</w:t>
            </w:r>
            <w:r>
              <w:rPr>
                <w:bCs/>
                <w:sz w:val="24"/>
              </w:rPr>
              <w:t>34</w:t>
            </w:r>
            <w:r>
              <w:rPr>
                <w:rFonts w:hint="eastAsia"/>
                <w:bCs/>
                <w:sz w:val="24"/>
              </w:rPr>
              <w:t>00</w:t>
            </w:r>
            <w:r>
              <w:rPr>
                <w:bCs/>
                <w:sz w:val="24"/>
              </w:rPr>
              <w:t>m</w:t>
            </w:r>
            <w:r>
              <w:rPr>
                <w:bCs/>
                <w:sz w:val="24"/>
                <w:vertAlign w:val="superscript"/>
              </w:rPr>
              <w:t>2</w:t>
            </w:r>
            <w:r>
              <w:rPr>
                <w:rFonts w:hint="eastAsia"/>
                <w:bCs/>
                <w:sz w:val="24"/>
              </w:rPr>
              <w:t>，东侧厂区占地面积</w:t>
            </w:r>
            <w:r>
              <w:rPr>
                <w:bCs/>
                <w:sz w:val="24"/>
              </w:rPr>
              <w:t>2</w:t>
            </w:r>
            <w:r>
              <w:rPr>
                <w:rFonts w:hint="eastAsia"/>
                <w:bCs/>
                <w:sz w:val="24"/>
              </w:rPr>
              <w:t>800</w:t>
            </w:r>
            <w:r>
              <w:rPr>
                <w:bCs/>
                <w:sz w:val="24"/>
              </w:rPr>
              <w:t>m</w:t>
            </w:r>
            <w:r>
              <w:rPr>
                <w:bCs/>
                <w:sz w:val="24"/>
                <w:vertAlign w:val="superscript"/>
              </w:rPr>
              <w:t>2</w:t>
            </w:r>
            <w:r>
              <w:rPr>
                <w:rFonts w:hint="eastAsia"/>
                <w:bCs/>
                <w:sz w:val="24"/>
              </w:rPr>
              <w:t>。总建筑面积</w:t>
            </w:r>
            <w:r>
              <w:rPr>
                <w:bCs/>
                <w:sz w:val="24"/>
              </w:rPr>
              <w:t>2</w:t>
            </w:r>
            <w:r>
              <w:rPr>
                <w:rFonts w:hint="eastAsia"/>
                <w:bCs/>
                <w:sz w:val="24"/>
              </w:rPr>
              <w:t>2</w:t>
            </w:r>
            <w:r>
              <w:rPr>
                <w:bCs/>
                <w:sz w:val="24"/>
              </w:rPr>
              <w:t>00</w:t>
            </w:r>
            <w:r>
              <w:rPr>
                <w:rFonts w:hint="eastAsia"/>
                <w:bCs/>
                <w:sz w:val="24"/>
              </w:rPr>
              <w:t>m</w:t>
            </w:r>
            <w:r>
              <w:rPr>
                <w:bCs/>
                <w:sz w:val="24"/>
                <w:vertAlign w:val="superscript"/>
              </w:rPr>
              <w:t>2</w:t>
            </w:r>
            <w:r>
              <w:rPr>
                <w:rFonts w:hint="eastAsia"/>
                <w:bCs/>
                <w:sz w:val="24"/>
              </w:rPr>
              <w:t>。其中，厂房及库房建筑面积2000m</w:t>
            </w:r>
            <w:r>
              <w:rPr>
                <w:bCs/>
                <w:sz w:val="24"/>
                <w:vertAlign w:val="superscript"/>
              </w:rPr>
              <w:t>2</w:t>
            </w:r>
            <w:r>
              <w:rPr>
                <w:rFonts w:hint="eastAsia"/>
                <w:bCs/>
                <w:sz w:val="24"/>
              </w:rPr>
              <w:t>，辅</w:t>
            </w:r>
            <w:r>
              <w:rPr>
                <w:rFonts w:hint="eastAsia"/>
                <w:bCs/>
                <w:color w:val="000000"/>
                <w:sz w:val="24"/>
              </w:rPr>
              <w:t>助附属用房200m</w:t>
            </w:r>
            <w:r>
              <w:rPr>
                <w:bCs/>
                <w:color w:val="000000"/>
                <w:sz w:val="24"/>
                <w:vertAlign w:val="superscript"/>
              </w:rPr>
              <w:t>2</w:t>
            </w:r>
            <w:r>
              <w:rPr>
                <w:rFonts w:hint="eastAsia"/>
                <w:bCs/>
                <w:color w:val="000000"/>
                <w:sz w:val="24"/>
              </w:rPr>
              <w:t>。包括生产设备用房、封闭原料车间和办公楼及室外管线、道路、硬化、绿化等。项目建设内容见下表2-1。</w:t>
            </w:r>
          </w:p>
          <w:p w14:paraId="2D0DE2D4">
            <w:pPr>
              <w:spacing w:line="360" w:lineRule="auto"/>
              <w:jc w:val="center"/>
              <w:rPr>
                <w:rFonts w:hint="eastAsia" w:hAnsi="宋体"/>
                <w:b/>
                <w:kern w:val="0"/>
                <w:szCs w:val="21"/>
              </w:rPr>
            </w:pPr>
            <w:bookmarkStart w:id="3" w:name="_Hlk173942041"/>
            <w:r>
              <w:rPr>
                <w:rFonts w:hAnsi="宋体"/>
                <w:b/>
                <w:kern w:val="0"/>
                <w:szCs w:val="21"/>
              </w:rPr>
              <w:t>表</w:t>
            </w:r>
            <w:r>
              <w:rPr>
                <w:rFonts w:hint="eastAsia" w:hAnsi="宋体"/>
                <w:b/>
                <w:kern w:val="0"/>
                <w:szCs w:val="21"/>
              </w:rPr>
              <w:t>2-</w:t>
            </w:r>
            <w:r>
              <w:rPr>
                <w:rFonts w:hAnsi="宋体"/>
                <w:b/>
                <w:kern w:val="0"/>
                <w:szCs w:val="21"/>
              </w:rPr>
              <w:t xml:space="preserve">1 </w:t>
            </w:r>
            <w:r>
              <w:rPr>
                <w:rFonts w:hint="eastAsia" w:hAnsi="宋体"/>
                <w:b/>
                <w:kern w:val="0"/>
                <w:szCs w:val="21"/>
              </w:rPr>
              <w:t>本项目建设内容一览表</w:t>
            </w:r>
          </w:p>
          <w:bookmarkEnd w:id="3"/>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444"/>
              <w:gridCol w:w="1007"/>
              <w:gridCol w:w="1007"/>
              <w:gridCol w:w="851"/>
              <w:gridCol w:w="4746"/>
            </w:tblGrid>
            <w:tr w14:paraId="0B681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054" w:type="pct"/>
                  <w:gridSpan w:val="4"/>
                  <w:vAlign w:val="center"/>
                </w:tcPr>
                <w:p w14:paraId="08C3A288">
                  <w:pPr>
                    <w:snapToGrid w:val="0"/>
                    <w:jc w:val="center"/>
                    <w:rPr>
                      <w:color w:val="000000"/>
                      <w:szCs w:val="21"/>
                    </w:rPr>
                  </w:pPr>
                  <w:bookmarkStart w:id="4" w:name="_Hlk173942033"/>
                  <w:r>
                    <w:rPr>
                      <w:color w:val="000000"/>
                      <w:szCs w:val="21"/>
                    </w:rPr>
                    <w:t>项目组成</w:t>
                  </w:r>
                </w:p>
              </w:tc>
              <w:tc>
                <w:tcPr>
                  <w:tcW w:w="2946" w:type="pct"/>
                  <w:vAlign w:val="center"/>
                </w:tcPr>
                <w:p w14:paraId="543EE1C5">
                  <w:pPr>
                    <w:snapToGrid w:val="0"/>
                    <w:jc w:val="center"/>
                    <w:rPr>
                      <w:color w:val="000000"/>
                      <w:szCs w:val="21"/>
                    </w:rPr>
                  </w:pPr>
                  <w:r>
                    <w:rPr>
                      <w:color w:val="000000"/>
                      <w:szCs w:val="21"/>
                    </w:rPr>
                    <w:t>主要建设内容</w:t>
                  </w:r>
                </w:p>
              </w:tc>
            </w:tr>
            <w:tr w14:paraId="184AA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76" w:type="pct"/>
                  <w:vMerge w:val="restart"/>
                  <w:vAlign w:val="center"/>
                </w:tcPr>
                <w:p w14:paraId="34169374">
                  <w:pPr>
                    <w:snapToGrid w:val="0"/>
                    <w:jc w:val="center"/>
                    <w:rPr>
                      <w:color w:val="000000"/>
                      <w:szCs w:val="21"/>
                    </w:rPr>
                  </w:pPr>
                  <w:r>
                    <w:rPr>
                      <w:rFonts w:hint="eastAsia"/>
                      <w:color w:val="000000"/>
                      <w:szCs w:val="21"/>
                    </w:rPr>
                    <w:t>主体工程</w:t>
                  </w:r>
                </w:p>
              </w:tc>
              <w:tc>
                <w:tcPr>
                  <w:tcW w:w="1250" w:type="pct"/>
                  <w:gridSpan w:val="2"/>
                  <w:vMerge w:val="restart"/>
                  <w:vAlign w:val="center"/>
                </w:tcPr>
                <w:p w14:paraId="71440BAC">
                  <w:pPr>
                    <w:snapToGrid w:val="0"/>
                    <w:jc w:val="center"/>
                    <w:rPr>
                      <w:color w:val="000000"/>
                      <w:szCs w:val="21"/>
                    </w:rPr>
                  </w:pPr>
                  <w:r>
                    <w:rPr>
                      <w:rFonts w:hint="eastAsia"/>
                      <w:color w:val="000000"/>
                      <w:szCs w:val="21"/>
                    </w:rPr>
                    <w:t>生产主厂房</w:t>
                  </w:r>
                </w:p>
                <w:p w14:paraId="547C099A">
                  <w:pPr>
                    <w:snapToGrid w:val="0"/>
                    <w:jc w:val="center"/>
                    <w:rPr>
                      <w:color w:val="000000"/>
                      <w:szCs w:val="21"/>
                    </w:rPr>
                  </w:pPr>
                </w:p>
                <w:p w14:paraId="6123A287">
                  <w:pPr>
                    <w:snapToGrid w:val="0"/>
                    <w:jc w:val="center"/>
                    <w:rPr>
                      <w:color w:val="000000"/>
                      <w:szCs w:val="21"/>
                    </w:rPr>
                  </w:pPr>
                  <w:r>
                    <w:rPr>
                      <w:rFonts w:hint="eastAsia"/>
                      <w:szCs w:val="21"/>
                    </w:rPr>
                    <w:t>（采用全封闭轻钢结构。长×宽×高：50m×16m×15m；）</w:t>
                  </w:r>
                </w:p>
              </w:tc>
              <w:tc>
                <w:tcPr>
                  <w:tcW w:w="528" w:type="pct"/>
                  <w:vAlign w:val="center"/>
                </w:tcPr>
                <w:p w14:paraId="2F1F09A2">
                  <w:pPr>
                    <w:snapToGrid w:val="0"/>
                    <w:jc w:val="center"/>
                    <w:rPr>
                      <w:color w:val="FF0000"/>
                      <w:szCs w:val="21"/>
                    </w:rPr>
                  </w:pPr>
                  <w:r>
                    <w:rPr>
                      <w:rFonts w:hint="eastAsia"/>
                      <w:color w:val="000000"/>
                      <w:szCs w:val="21"/>
                    </w:rPr>
                    <w:t>粉料计量系统</w:t>
                  </w:r>
                </w:p>
              </w:tc>
              <w:tc>
                <w:tcPr>
                  <w:tcW w:w="2946" w:type="pct"/>
                  <w:vAlign w:val="center"/>
                </w:tcPr>
                <w:p w14:paraId="54C1579A">
                  <w:pPr>
                    <w:snapToGrid w:val="0"/>
                    <w:jc w:val="center"/>
                    <w:rPr>
                      <w:szCs w:val="21"/>
                    </w:rPr>
                  </w:pPr>
                  <w:r>
                    <w:rPr>
                      <w:rFonts w:hint="eastAsia"/>
                      <w:szCs w:val="21"/>
                    </w:rPr>
                    <w:t>水泥计量称（点动补料专利技术），包括计量斗、支架、传感器等设施。</w:t>
                  </w:r>
                </w:p>
              </w:tc>
            </w:tr>
            <w:tr w14:paraId="16802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021A4E68">
                  <w:pPr>
                    <w:snapToGrid w:val="0"/>
                    <w:jc w:val="center"/>
                    <w:rPr>
                      <w:szCs w:val="21"/>
                      <w:highlight w:val="yellow"/>
                    </w:rPr>
                  </w:pPr>
                </w:p>
              </w:tc>
              <w:tc>
                <w:tcPr>
                  <w:tcW w:w="1250" w:type="pct"/>
                  <w:gridSpan w:val="2"/>
                  <w:vMerge w:val="continue"/>
                  <w:vAlign w:val="center"/>
                </w:tcPr>
                <w:p w14:paraId="463E99F0">
                  <w:pPr>
                    <w:snapToGrid w:val="0"/>
                    <w:jc w:val="center"/>
                    <w:rPr>
                      <w:szCs w:val="21"/>
                    </w:rPr>
                  </w:pPr>
                </w:p>
              </w:tc>
              <w:tc>
                <w:tcPr>
                  <w:tcW w:w="528" w:type="pct"/>
                  <w:vAlign w:val="center"/>
                </w:tcPr>
                <w:p w14:paraId="03AE4853">
                  <w:pPr>
                    <w:snapToGrid w:val="0"/>
                    <w:jc w:val="center"/>
                    <w:rPr>
                      <w:szCs w:val="21"/>
                    </w:rPr>
                  </w:pPr>
                  <w:r>
                    <w:rPr>
                      <w:rFonts w:hint="eastAsia"/>
                      <w:szCs w:val="21"/>
                    </w:rPr>
                    <w:t>外加剂</w:t>
                  </w:r>
                </w:p>
                <w:p w14:paraId="6AA461D5">
                  <w:pPr>
                    <w:snapToGrid w:val="0"/>
                    <w:jc w:val="center"/>
                    <w:rPr>
                      <w:szCs w:val="21"/>
                    </w:rPr>
                  </w:pPr>
                  <w:r>
                    <w:rPr>
                      <w:rFonts w:hint="eastAsia"/>
                      <w:szCs w:val="21"/>
                    </w:rPr>
                    <w:t>系统</w:t>
                  </w:r>
                </w:p>
              </w:tc>
              <w:tc>
                <w:tcPr>
                  <w:tcW w:w="2946" w:type="pct"/>
                  <w:vAlign w:val="center"/>
                </w:tcPr>
                <w:p w14:paraId="3F4A0A76">
                  <w:pPr>
                    <w:snapToGrid w:val="0"/>
                    <w:jc w:val="center"/>
                    <w:rPr>
                      <w:szCs w:val="21"/>
                    </w:rPr>
                  </w:pPr>
                  <w:r>
                    <w:rPr>
                      <w:rFonts w:hint="eastAsia"/>
                      <w:szCs w:val="21"/>
                    </w:rPr>
                    <w:t>外加剂储存计量（专利技术），包括外加剂提升机、提升吊篮、储存斗、助流搅拌装置和传感器。</w:t>
                  </w:r>
                </w:p>
              </w:tc>
            </w:tr>
            <w:tr w14:paraId="25DD5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4C9D22D1">
                  <w:pPr>
                    <w:snapToGrid w:val="0"/>
                    <w:jc w:val="center"/>
                    <w:rPr>
                      <w:szCs w:val="21"/>
                      <w:highlight w:val="yellow"/>
                    </w:rPr>
                  </w:pPr>
                </w:p>
              </w:tc>
              <w:tc>
                <w:tcPr>
                  <w:tcW w:w="1250" w:type="pct"/>
                  <w:gridSpan w:val="2"/>
                  <w:vMerge w:val="continue"/>
                  <w:vAlign w:val="center"/>
                </w:tcPr>
                <w:p w14:paraId="434D7D00">
                  <w:pPr>
                    <w:snapToGrid w:val="0"/>
                    <w:jc w:val="center"/>
                    <w:rPr>
                      <w:szCs w:val="21"/>
                    </w:rPr>
                  </w:pPr>
                </w:p>
              </w:tc>
              <w:tc>
                <w:tcPr>
                  <w:tcW w:w="528" w:type="pct"/>
                  <w:vAlign w:val="center"/>
                </w:tcPr>
                <w:p w14:paraId="28D5ECA6">
                  <w:pPr>
                    <w:snapToGrid w:val="0"/>
                    <w:jc w:val="center"/>
                    <w:rPr>
                      <w:szCs w:val="21"/>
                    </w:rPr>
                  </w:pPr>
                  <w:r>
                    <w:rPr>
                      <w:rFonts w:hint="eastAsia"/>
                      <w:szCs w:val="21"/>
                    </w:rPr>
                    <w:t>预混料输送</w:t>
                  </w:r>
                </w:p>
                <w:p w14:paraId="0EC13102">
                  <w:pPr>
                    <w:snapToGrid w:val="0"/>
                    <w:jc w:val="center"/>
                    <w:rPr>
                      <w:szCs w:val="21"/>
                    </w:rPr>
                  </w:pPr>
                  <w:r>
                    <w:rPr>
                      <w:rFonts w:hint="eastAsia"/>
                      <w:szCs w:val="21"/>
                    </w:rPr>
                    <w:t>系统</w:t>
                  </w:r>
                </w:p>
              </w:tc>
              <w:tc>
                <w:tcPr>
                  <w:tcW w:w="2946" w:type="pct"/>
                  <w:vAlign w:val="center"/>
                </w:tcPr>
                <w:p w14:paraId="2481E28F">
                  <w:pPr>
                    <w:snapToGrid w:val="0"/>
                    <w:jc w:val="center"/>
                    <w:rPr>
                      <w:szCs w:val="21"/>
                    </w:rPr>
                  </w:pPr>
                  <w:r>
                    <w:rPr>
                      <w:rFonts w:hint="eastAsia"/>
                      <w:szCs w:val="21"/>
                    </w:rPr>
                    <w:t>包含砂计量阀门、砂溜槽、预混料提升机（NE150型斗提机）、砂暂存仓（6T）、</w:t>
                  </w:r>
                  <w:r>
                    <w:rPr>
                      <w:rFonts w:hint="eastAsia"/>
                    </w:rPr>
                    <w:t>砂计量称（</w:t>
                  </w:r>
                  <w:r>
                    <w:rPr>
                      <w:rFonts w:hint="eastAsia"/>
                      <w:szCs w:val="21"/>
                    </w:rPr>
                    <w:t>点动补料专利技术</w:t>
                  </w:r>
                  <w:r>
                    <w:rPr>
                      <w:rFonts w:hint="eastAsia"/>
                    </w:rPr>
                    <w:t>）。</w:t>
                  </w:r>
                </w:p>
              </w:tc>
            </w:tr>
            <w:tr w14:paraId="45583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366DF18B">
                  <w:pPr>
                    <w:snapToGrid w:val="0"/>
                    <w:jc w:val="center"/>
                    <w:rPr>
                      <w:szCs w:val="21"/>
                      <w:highlight w:val="yellow"/>
                    </w:rPr>
                  </w:pPr>
                </w:p>
              </w:tc>
              <w:tc>
                <w:tcPr>
                  <w:tcW w:w="1250" w:type="pct"/>
                  <w:gridSpan w:val="2"/>
                  <w:vMerge w:val="continue"/>
                  <w:vAlign w:val="center"/>
                </w:tcPr>
                <w:p w14:paraId="32D82768">
                  <w:pPr>
                    <w:snapToGrid w:val="0"/>
                    <w:jc w:val="center"/>
                    <w:rPr>
                      <w:szCs w:val="21"/>
                    </w:rPr>
                  </w:pPr>
                </w:p>
              </w:tc>
              <w:tc>
                <w:tcPr>
                  <w:tcW w:w="528" w:type="pct"/>
                  <w:vAlign w:val="center"/>
                </w:tcPr>
                <w:p w14:paraId="296C8651">
                  <w:pPr>
                    <w:snapToGrid w:val="0"/>
                    <w:jc w:val="center"/>
                    <w:rPr>
                      <w:szCs w:val="21"/>
                    </w:rPr>
                  </w:pPr>
                  <w:r>
                    <w:rPr>
                      <w:rFonts w:hint="eastAsia"/>
                      <w:szCs w:val="21"/>
                    </w:rPr>
                    <w:t>搅拌系统</w:t>
                  </w:r>
                </w:p>
              </w:tc>
              <w:tc>
                <w:tcPr>
                  <w:tcW w:w="2946" w:type="pct"/>
                  <w:vAlign w:val="center"/>
                </w:tcPr>
                <w:p w14:paraId="43699A7B">
                  <w:pPr>
                    <w:snapToGrid w:val="0"/>
                    <w:jc w:val="center"/>
                    <w:rPr>
                      <w:color w:val="FF0000"/>
                      <w:szCs w:val="21"/>
                    </w:rPr>
                  </w:pPr>
                  <w:r>
                    <w:rPr>
                      <w:rFonts w:hint="eastAsia"/>
                      <w:szCs w:val="21"/>
                    </w:rPr>
                    <w:t>主要设施为SW6000型双桨无重力双轴搅拌机1套，设计最大生产能力90t/h。</w:t>
                  </w:r>
                </w:p>
              </w:tc>
            </w:tr>
            <w:tr w14:paraId="1477D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655C91C1">
                  <w:pPr>
                    <w:snapToGrid w:val="0"/>
                    <w:jc w:val="center"/>
                    <w:rPr>
                      <w:szCs w:val="21"/>
                      <w:highlight w:val="yellow"/>
                    </w:rPr>
                  </w:pPr>
                </w:p>
              </w:tc>
              <w:tc>
                <w:tcPr>
                  <w:tcW w:w="1250" w:type="pct"/>
                  <w:gridSpan w:val="2"/>
                  <w:vMerge w:val="continue"/>
                  <w:vAlign w:val="center"/>
                </w:tcPr>
                <w:p w14:paraId="2B508683">
                  <w:pPr>
                    <w:snapToGrid w:val="0"/>
                    <w:jc w:val="center"/>
                    <w:rPr>
                      <w:szCs w:val="21"/>
                    </w:rPr>
                  </w:pPr>
                </w:p>
              </w:tc>
              <w:tc>
                <w:tcPr>
                  <w:tcW w:w="528" w:type="pct"/>
                  <w:vAlign w:val="center"/>
                </w:tcPr>
                <w:p w14:paraId="228943B1">
                  <w:pPr>
                    <w:snapToGrid w:val="0"/>
                    <w:jc w:val="center"/>
                    <w:rPr>
                      <w:szCs w:val="21"/>
                    </w:rPr>
                  </w:pPr>
                  <w:r>
                    <w:rPr>
                      <w:rFonts w:hint="eastAsia"/>
                      <w:szCs w:val="21"/>
                    </w:rPr>
                    <w:t>袋包装</w:t>
                  </w:r>
                </w:p>
                <w:p w14:paraId="4B450A8F">
                  <w:pPr>
                    <w:snapToGrid w:val="0"/>
                    <w:jc w:val="center"/>
                    <w:rPr>
                      <w:szCs w:val="21"/>
                    </w:rPr>
                  </w:pPr>
                  <w:r>
                    <w:rPr>
                      <w:rFonts w:hint="eastAsia"/>
                      <w:szCs w:val="21"/>
                    </w:rPr>
                    <w:t>系统</w:t>
                  </w:r>
                </w:p>
              </w:tc>
              <w:tc>
                <w:tcPr>
                  <w:tcW w:w="2946" w:type="pct"/>
                  <w:vAlign w:val="center"/>
                </w:tcPr>
                <w:p w14:paraId="32B2E7EB">
                  <w:pPr>
                    <w:snapToGrid w:val="0"/>
                    <w:jc w:val="center"/>
                    <w:rPr>
                      <w:szCs w:val="21"/>
                    </w:rPr>
                  </w:pPr>
                  <w:r>
                    <w:rPr>
                      <w:rFonts w:hint="eastAsia"/>
                      <w:szCs w:val="21"/>
                    </w:rPr>
                    <w:t>主要设施包括ULS400型密封螺旋机1套、袋包装储料斗（斗容4</w:t>
                  </w:r>
                  <w:r>
                    <w:rPr>
                      <w:szCs w:val="21"/>
                    </w:rPr>
                    <w:t>.0</w:t>
                  </w:r>
                  <w:r>
                    <w:rPr>
                      <w:rFonts w:hint="eastAsia"/>
                      <w:szCs w:val="21"/>
                    </w:rPr>
                    <w:t>m</w:t>
                  </w:r>
                  <w:r>
                    <w:rPr>
                      <w:szCs w:val="21"/>
                      <w:vertAlign w:val="superscript"/>
                    </w:rPr>
                    <w:t>3</w:t>
                  </w:r>
                  <w:r>
                    <w:rPr>
                      <w:rFonts w:hint="eastAsia"/>
                      <w:szCs w:val="21"/>
                    </w:rPr>
                    <w:t>）、砂浆叶轮气吹包装机2套、PD</w:t>
                  </w:r>
                  <w:r>
                    <w:rPr>
                      <w:szCs w:val="21"/>
                    </w:rPr>
                    <w:t>650</w:t>
                  </w:r>
                  <w:r>
                    <w:rPr>
                      <w:rFonts w:hint="eastAsia"/>
                      <w:szCs w:val="21"/>
                    </w:rPr>
                    <w:t>型挡边防刮带皮带机1套。</w:t>
                  </w:r>
                </w:p>
              </w:tc>
            </w:tr>
            <w:tr w14:paraId="4FFE3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restart"/>
                  <w:vAlign w:val="center"/>
                </w:tcPr>
                <w:p w14:paraId="55BDE735">
                  <w:pPr>
                    <w:snapToGrid w:val="0"/>
                    <w:jc w:val="center"/>
                    <w:rPr>
                      <w:szCs w:val="21"/>
                    </w:rPr>
                  </w:pPr>
                  <w:r>
                    <w:rPr>
                      <w:szCs w:val="21"/>
                    </w:rPr>
                    <w:t>辅助工程</w:t>
                  </w:r>
                </w:p>
              </w:tc>
              <w:tc>
                <w:tcPr>
                  <w:tcW w:w="1778" w:type="pct"/>
                  <w:gridSpan w:val="3"/>
                  <w:vAlign w:val="center"/>
                </w:tcPr>
                <w:p w14:paraId="715BC779">
                  <w:pPr>
                    <w:snapToGrid w:val="0"/>
                    <w:jc w:val="center"/>
                    <w:rPr>
                      <w:szCs w:val="21"/>
                    </w:rPr>
                  </w:pPr>
                  <w:r>
                    <w:rPr>
                      <w:rFonts w:hint="eastAsia"/>
                      <w:szCs w:val="21"/>
                    </w:rPr>
                    <w:t>气动系统</w:t>
                  </w:r>
                </w:p>
              </w:tc>
              <w:tc>
                <w:tcPr>
                  <w:tcW w:w="2946" w:type="pct"/>
                  <w:vAlign w:val="center"/>
                </w:tcPr>
                <w:p w14:paraId="69006A63">
                  <w:pPr>
                    <w:snapToGrid w:val="0"/>
                    <w:jc w:val="center"/>
                    <w:rPr>
                      <w:color w:val="000000"/>
                      <w:szCs w:val="21"/>
                    </w:rPr>
                  </w:pPr>
                  <w:r>
                    <w:rPr>
                      <w:rFonts w:hint="eastAsia"/>
                      <w:color w:val="000000"/>
                      <w:szCs w:val="21"/>
                    </w:rPr>
                    <w:t>保证气路中得到干燥充足的气源，保证没有水分进入主机的密封装置。主要包括空压机、冷干机、储气罐等。</w:t>
                  </w:r>
                </w:p>
              </w:tc>
            </w:tr>
            <w:tr w14:paraId="14432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6630F8DA">
                  <w:pPr>
                    <w:snapToGrid w:val="0"/>
                    <w:jc w:val="center"/>
                    <w:rPr>
                      <w:szCs w:val="21"/>
                    </w:rPr>
                  </w:pPr>
                </w:p>
              </w:tc>
              <w:tc>
                <w:tcPr>
                  <w:tcW w:w="1778" w:type="pct"/>
                  <w:gridSpan w:val="3"/>
                  <w:vAlign w:val="center"/>
                </w:tcPr>
                <w:p w14:paraId="7FC7A1AD">
                  <w:pPr>
                    <w:snapToGrid w:val="0"/>
                    <w:jc w:val="center"/>
                    <w:rPr>
                      <w:szCs w:val="21"/>
                    </w:rPr>
                  </w:pPr>
                  <w:r>
                    <w:rPr>
                      <w:rFonts w:hint="eastAsia"/>
                      <w:szCs w:val="21"/>
                    </w:rPr>
                    <w:t>控制系统</w:t>
                  </w:r>
                </w:p>
              </w:tc>
              <w:tc>
                <w:tcPr>
                  <w:tcW w:w="2946" w:type="pct"/>
                  <w:vAlign w:val="center"/>
                </w:tcPr>
                <w:p w14:paraId="28926BED">
                  <w:pPr>
                    <w:snapToGrid w:val="0"/>
                    <w:jc w:val="center"/>
                    <w:rPr>
                      <w:color w:val="000000"/>
                      <w:szCs w:val="21"/>
                    </w:rPr>
                  </w:pPr>
                  <w:r>
                    <w:rPr>
                      <w:rFonts w:hint="eastAsia"/>
                      <w:color w:val="000000"/>
                      <w:szCs w:val="21"/>
                    </w:rPr>
                    <w:t>具有计量落差自动补偿、自动扣称等专利技术。整套系统配备原料库管理、配方管理、权限设置、重要电机电流监控、全自动手动自由切换生产等功能。</w:t>
                  </w:r>
                </w:p>
              </w:tc>
            </w:tr>
            <w:tr w14:paraId="669F1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6EA8C158">
                  <w:pPr>
                    <w:snapToGrid w:val="0"/>
                    <w:jc w:val="center"/>
                    <w:rPr>
                      <w:szCs w:val="21"/>
                    </w:rPr>
                  </w:pPr>
                </w:p>
              </w:tc>
              <w:tc>
                <w:tcPr>
                  <w:tcW w:w="1778" w:type="pct"/>
                  <w:gridSpan w:val="3"/>
                  <w:vAlign w:val="center"/>
                </w:tcPr>
                <w:p w14:paraId="5B0E4AEC">
                  <w:pPr>
                    <w:snapToGrid w:val="0"/>
                    <w:jc w:val="center"/>
                    <w:rPr>
                      <w:szCs w:val="21"/>
                    </w:rPr>
                  </w:pPr>
                  <w:r>
                    <w:rPr>
                      <w:szCs w:val="21"/>
                    </w:rPr>
                    <w:t>办公</w:t>
                  </w:r>
                  <w:r>
                    <w:rPr>
                      <w:rFonts w:hint="eastAsia"/>
                      <w:szCs w:val="21"/>
                    </w:rPr>
                    <w:t>楼</w:t>
                  </w:r>
                </w:p>
              </w:tc>
              <w:tc>
                <w:tcPr>
                  <w:tcW w:w="2946" w:type="pct"/>
                  <w:vAlign w:val="center"/>
                </w:tcPr>
                <w:p w14:paraId="4E5D269C">
                  <w:pPr>
                    <w:snapToGrid w:val="0"/>
                    <w:jc w:val="center"/>
                    <w:rPr>
                      <w:color w:val="000000"/>
                      <w:szCs w:val="21"/>
                    </w:rPr>
                  </w:pPr>
                  <w:r>
                    <w:rPr>
                      <w:color w:val="000000"/>
                      <w:szCs w:val="21"/>
                    </w:rPr>
                    <w:t>办公用房，占地面</w:t>
                  </w:r>
                  <w:r>
                    <w:rPr>
                      <w:szCs w:val="21"/>
                    </w:rPr>
                    <w:t>积</w:t>
                  </w:r>
                  <w:r>
                    <w:rPr>
                      <w:rFonts w:hint="eastAsia"/>
                      <w:szCs w:val="21"/>
                    </w:rPr>
                    <w:t>200</w:t>
                  </w:r>
                  <w:r>
                    <w:rPr>
                      <w:szCs w:val="21"/>
                    </w:rPr>
                    <w:t>m</w:t>
                  </w:r>
                  <w:r>
                    <w:rPr>
                      <w:szCs w:val="21"/>
                      <w:vertAlign w:val="superscript"/>
                    </w:rPr>
                    <w:t>2</w:t>
                  </w:r>
                  <w:r>
                    <w:rPr>
                      <w:rFonts w:hint="eastAsia"/>
                      <w:szCs w:val="21"/>
                    </w:rPr>
                    <w:t>，二层框架结构建筑。</w:t>
                  </w:r>
                  <w:r>
                    <w:rPr>
                      <w:rFonts w:hint="eastAsia"/>
                      <w:color w:val="000000"/>
                      <w:szCs w:val="21"/>
                    </w:rPr>
                    <w:t>内部包括临时休息室、办公室、会议室等。</w:t>
                  </w:r>
                </w:p>
              </w:tc>
            </w:tr>
            <w:tr w14:paraId="32C01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restart"/>
                  <w:vAlign w:val="center"/>
                </w:tcPr>
                <w:p w14:paraId="00582145">
                  <w:pPr>
                    <w:snapToGrid w:val="0"/>
                    <w:jc w:val="center"/>
                    <w:rPr>
                      <w:szCs w:val="21"/>
                    </w:rPr>
                  </w:pPr>
                  <w:r>
                    <w:rPr>
                      <w:szCs w:val="21"/>
                    </w:rPr>
                    <w:t>储运工程</w:t>
                  </w:r>
                </w:p>
              </w:tc>
              <w:tc>
                <w:tcPr>
                  <w:tcW w:w="1778" w:type="pct"/>
                  <w:gridSpan w:val="3"/>
                  <w:vAlign w:val="center"/>
                </w:tcPr>
                <w:p w14:paraId="500116C0">
                  <w:pPr>
                    <w:snapToGrid w:val="0"/>
                    <w:jc w:val="center"/>
                    <w:rPr>
                      <w:szCs w:val="21"/>
                    </w:rPr>
                  </w:pPr>
                  <w:r>
                    <w:rPr>
                      <w:rFonts w:hint="eastAsia"/>
                      <w:szCs w:val="21"/>
                    </w:rPr>
                    <w:t>砂库</w:t>
                  </w:r>
                </w:p>
              </w:tc>
              <w:tc>
                <w:tcPr>
                  <w:tcW w:w="2946" w:type="pct"/>
                  <w:vAlign w:val="center"/>
                </w:tcPr>
                <w:p w14:paraId="54D2B6EA">
                  <w:pPr>
                    <w:snapToGrid w:val="0"/>
                    <w:jc w:val="center"/>
                    <w:rPr>
                      <w:szCs w:val="21"/>
                    </w:rPr>
                  </w:pPr>
                  <w:r>
                    <w:rPr>
                      <w:rFonts w:hint="eastAsia"/>
                      <w:szCs w:val="21"/>
                    </w:rPr>
                    <w:t>储存砂料，全封闭轻钢结构（长×宽×高：50米×15米×12米），占地面积750m</w:t>
                  </w:r>
                  <w:r>
                    <w:rPr>
                      <w:rFonts w:hint="eastAsia"/>
                      <w:szCs w:val="21"/>
                      <w:vertAlign w:val="superscript"/>
                    </w:rPr>
                    <w:t>2</w:t>
                  </w:r>
                  <w:r>
                    <w:rPr>
                      <w:rFonts w:hint="eastAsia"/>
                      <w:szCs w:val="21"/>
                    </w:rPr>
                    <w:t>。</w:t>
                  </w:r>
                </w:p>
              </w:tc>
            </w:tr>
            <w:tr w14:paraId="135A9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0F5379A6">
                  <w:pPr>
                    <w:snapToGrid w:val="0"/>
                    <w:jc w:val="center"/>
                    <w:rPr>
                      <w:szCs w:val="21"/>
                    </w:rPr>
                  </w:pPr>
                </w:p>
              </w:tc>
              <w:tc>
                <w:tcPr>
                  <w:tcW w:w="1778" w:type="pct"/>
                  <w:gridSpan w:val="3"/>
                  <w:vAlign w:val="center"/>
                </w:tcPr>
                <w:p w14:paraId="106E9718">
                  <w:pPr>
                    <w:snapToGrid w:val="0"/>
                    <w:jc w:val="center"/>
                    <w:rPr>
                      <w:szCs w:val="21"/>
                    </w:rPr>
                  </w:pPr>
                  <w:r>
                    <w:rPr>
                      <w:rFonts w:hint="eastAsia"/>
                      <w:szCs w:val="21"/>
                    </w:rPr>
                    <w:t>砂暂存仓</w:t>
                  </w:r>
                </w:p>
              </w:tc>
              <w:tc>
                <w:tcPr>
                  <w:tcW w:w="2946" w:type="pct"/>
                  <w:vAlign w:val="center"/>
                </w:tcPr>
                <w:p w14:paraId="7DA739A0">
                  <w:pPr>
                    <w:snapToGrid w:val="0"/>
                    <w:jc w:val="center"/>
                    <w:rPr>
                      <w:szCs w:val="21"/>
                    </w:rPr>
                  </w:pPr>
                  <w:r>
                    <w:rPr>
                      <w:szCs w:val="21"/>
                    </w:rPr>
                    <w:t>1</w:t>
                  </w:r>
                  <w:r>
                    <w:rPr>
                      <w:rFonts w:hint="eastAsia"/>
                      <w:szCs w:val="21"/>
                    </w:rPr>
                    <w:t>座</w:t>
                  </w:r>
                  <w:r>
                    <w:rPr>
                      <w:szCs w:val="21"/>
                    </w:rPr>
                    <w:t>6</w:t>
                  </w:r>
                  <w:r>
                    <w:rPr>
                      <w:rFonts w:hint="eastAsia"/>
                      <w:szCs w:val="21"/>
                    </w:rPr>
                    <w:t>T砂暂存仓，位于主楼搅拌机上方，暂存砂料，提高生产效率。</w:t>
                  </w:r>
                </w:p>
              </w:tc>
            </w:tr>
            <w:tr w14:paraId="5A244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15F9FE3D">
                  <w:pPr>
                    <w:snapToGrid w:val="0"/>
                    <w:jc w:val="center"/>
                    <w:rPr>
                      <w:szCs w:val="21"/>
                    </w:rPr>
                  </w:pPr>
                </w:p>
              </w:tc>
              <w:tc>
                <w:tcPr>
                  <w:tcW w:w="1778" w:type="pct"/>
                  <w:gridSpan w:val="3"/>
                  <w:vAlign w:val="center"/>
                </w:tcPr>
                <w:p w14:paraId="329B2175">
                  <w:pPr>
                    <w:snapToGrid w:val="0"/>
                    <w:jc w:val="center"/>
                    <w:rPr>
                      <w:szCs w:val="21"/>
                    </w:rPr>
                  </w:pPr>
                  <w:r>
                    <w:rPr>
                      <w:rFonts w:hint="eastAsia"/>
                      <w:szCs w:val="21"/>
                    </w:rPr>
                    <w:t>水泥仓</w:t>
                  </w:r>
                </w:p>
              </w:tc>
              <w:tc>
                <w:tcPr>
                  <w:tcW w:w="2946" w:type="pct"/>
                  <w:vAlign w:val="center"/>
                </w:tcPr>
                <w:p w14:paraId="045F614C">
                  <w:pPr>
                    <w:snapToGrid w:val="0"/>
                    <w:jc w:val="center"/>
                    <w:rPr>
                      <w:szCs w:val="21"/>
                    </w:rPr>
                  </w:pPr>
                  <w:r>
                    <w:rPr>
                      <w:szCs w:val="21"/>
                    </w:rPr>
                    <w:t>2</w:t>
                  </w:r>
                  <w:r>
                    <w:rPr>
                      <w:rFonts w:hint="eastAsia"/>
                      <w:szCs w:val="21"/>
                    </w:rPr>
                    <w:t>座</w:t>
                  </w:r>
                  <w:r>
                    <w:rPr>
                      <w:szCs w:val="21"/>
                    </w:rPr>
                    <w:t>150</w:t>
                  </w:r>
                  <w:r>
                    <w:rPr>
                      <w:rFonts w:hint="eastAsia"/>
                      <w:szCs w:val="21"/>
                    </w:rPr>
                    <w:t>T圆形水泥粉仓，直径</w:t>
                  </w:r>
                  <w:r>
                    <w:rPr>
                      <w:szCs w:val="21"/>
                    </w:rPr>
                    <w:t>4</w:t>
                  </w:r>
                  <w:r>
                    <w:rPr>
                      <w:rFonts w:hint="eastAsia"/>
                      <w:szCs w:val="21"/>
                    </w:rPr>
                    <w:t>m，高26m。</w:t>
                  </w:r>
                </w:p>
              </w:tc>
            </w:tr>
            <w:tr w14:paraId="73DEA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3BE92220">
                  <w:pPr>
                    <w:snapToGrid w:val="0"/>
                    <w:jc w:val="center"/>
                    <w:rPr>
                      <w:szCs w:val="21"/>
                    </w:rPr>
                  </w:pPr>
                </w:p>
              </w:tc>
              <w:tc>
                <w:tcPr>
                  <w:tcW w:w="1778" w:type="pct"/>
                  <w:gridSpan w:val="3"/>
                  <w:vAlign w:val="center"/>
                </w:tcPr>
                <w:p w14:paraId="79CEFD96">
                  <w:pPr>
                    <w:snapToGrid w:val="0"/>
                    <w:jc w:val="center"/>
                    <w:rPr>
                      <w:szCs w:val="21"/>
                    </w:rPr>
                  </w:pPr>
                  <w:r>
                    <w:rPr>
                      <w:rFonts w:hint="eastAsia"/>
                      <w:szCs w:val="21"/>
                    </w:rPr>
                    <w:t>粉煤灰仓</w:t>
                  </w:r>
                </w:p>
              </w:tc>
              <w:tc>
                <w:tcPr>
                  <w:tcW w:w="2946" w:type="pct"/>
                  <w:vAlign w:val="center"/>
                </w:tcPr>
                <w:p w14:paraId="14E36D23">
                  <w:pPr>
                    <w:snapToGrid w:val="0"/>
                    <w:jc w:val="center"/>
                    <w:rPr>
                      <w:szCs w:val="21"/>
                    </w:rPr>
                  </w:pPr>
                  <w:r>
                    <w:rPr>
                      <w:szCs w:val="21"/>
                    </w:rPr>
                    <w:t>1</w:t>
                  </w:r>
                  <w:r>
                    <w:rPr>
                      <w:rFonts w:hint="eastAsia"/>
                      <w:szCs w:val="21"/>
                    </w:rPr>
                    <w:t>座</w:t>
                  </w:r>
                  <w:r>
                    <w:rPr>
                      <w:szCs w:val="21"/>
                    </w:rPr>
                    <w:t>150</w:t>
                  </w:r>
                  <w:r>
                    <w:rPr>
                      <w:rFonts w:hint="eastAsia"/>
                      <w:szCs w:val="21"/>
                    </w:rPr>
                    <w:t>T圆形水泥粉仓，直径</w:t>
                  </w:r>
                  <w:r>
                    <w:rPr>
                      <w:szCs w:val="21"/>
                    </w:rPr>
                    <w:t>4</w:t>
                  </w:r>
                  <w:r>
                    <w:rPr>
                      <w:rFonts w:hint="eastAsia"/>
                      <w:szCs w:val="21"/>
                    </w:rPr>
                    <w:t>m，高26m。</w:t>
                  </w:r>
                </w:p>
              </w:tc>
            </w:tr>
            <w:tr w14:paraId="4F07B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3F713BBA">
                  <w:pPr>
                    <w:snapToGrid w:val="0"/>
                    <w:jc w:val="center"/>
                    <w:rPr>
                      <w:szCs w:val="21"/>
                    </w:rPr>
                  </w:pPr>
                </w:p>
              </w:tc>
              <w:tc>
                <w:tcPr>
                  <w:tcW w:w="1778" w:type="pct"/>
                  <w:gridSpan w:val="3"/>
                  <w:vAlign w:val="center"/>
                </w:tcPr>
                <w:p w14:paraId="760D2183">
                  <w:pPr>
                    <w:snapToGrid w:val="0"/>
                    <w:jc w:val="center"/>
                    <w:rPr>
                      <w:szCs w:val="21"/>
                    </w:rPr>
                  </w:pPr>
                  <w:r>
                    <w:rPr>
                      <w:rFonts w:hint="eastAsia"/>
                      <w:szCs w:val="21"/>
                    </w:rPr>
                    <w:t>成品仓系统</w:t>
                  </w:r>
                </w:p>
              </w:tc>
              <w:tc>
                <w:tcPr>
                  <w:tcW w:w="2946" w:type="pct"/>
                  <w:vAlign w:val="center"/>
                </w:tcPr>
                <w:p w14:paraId="70CBA1B6">
                  <w:pPr>
                    <w:snapToGrid w:val="0"/>
                    <w:jc w:val="center"/>
                    <w:rPr>
                      <w:szCs w:val="21"/>
                    </w:rPr>
                  </w:pPr>
                  <w:r>
                    <w:rPr>
                      <w:rFonts w:hint="eastAsia"/>
                      <w:szCs w:val="21"/>
                    </w:rPr>
                    <w:t>包含物料输送机、斗提机和成品仓，1</w:t>
                  </w:r>
                  <w:r>
                    <w:rPr>
                      <w:szCs w:val="21"/>
                    </w:rPr>
                    <w:t>00</w:t>
                  </w:r>
                  <w:r>
                    <w:rPr>
                      <w:rFonts w:hint="eastAsia"/>
                      <w:szCs w:val="21"/>
                    </w:rPr>
                    <w:t>t成品仓1座，直径3</w:t>
                  </w:r>
                  <w:r>
                    <w:rPr>
                      <w:szCs w:val="21"/>
                    </w:rPr>
                    <w:t>.6</w:t>
                  </w:r>
                  <w:r>
                    <w:rPr>
                      <w:rFonts w:hint="eastAsia"/>
                      <w:szCs w:val="21"/>
                    </w:rPr>
                    <w:t>m。</w:t>
                  </w:r>
                </w:p>
              </w:tc>
            </w:tr>
            <w:tr w14:paraId="4FBFF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3E7D5B8B">
                  <w:pPr>
                    <w:snapToGrid w:val="0"/>
                    <w:jc w:val="center"/>
                    <w:rPr>
                      <w:szCs w:val="21"/>
                    </w:rPr>
                  </w:pPr>
                </w:p>
              </w:tc>
              <w:tc>
                <w:tcPr>
                  <w:tcW w:w="1778" w:type="pct"/>
                  <w:gridSpan w:val="3"/>
                  <w:vAlign w:val="center"/>
                </w:tcPr>
                <w:p w14:paraId="6A2DCAF8">
                  <w:pPr>
                    <w:snapToGrid w:val="0"/>
                    <w:jc w:val="center"/>
                    <w:rPr>
                      <w:szCs w:val="21"/>
                    </w:rPr>
                  </w:pPr>
                  <w:r>
                    <w:rPr>
                      <w:rFonts w:hint="eastAsia"/>
                      <w:szCs w:val="21"/>
                    </w:rPr>
                    <w:t>袋装产品库</w:t>
                  </w:r>
                </w:p>
              </w:tc>
              <w:tc>
                <w:tcPr>
                  <w:tcW w:w="2946" w:type="pct"/>
                  <w:vAlign w:val="center"/>
                </w:tcPr>
                <w:p w14:paraId="79D08660">
                  <w:pPr>
                    <w:snapToGrid w:val="0"/>
                    <w:jc w:val="center"/>
                    <w:rPr>
                      <w:szCs w:val="21"/>
                    </w:rPr>
                  </w:pPr>
                  <w:r>
                    <w:rPr>
                      <w:rFonts w:hint="eastAsia"/>
                      <w:szCs w:val="21"/>
                    </w:rPr>
                    <w:t>全封闭轻钢结构（长×宽×高：40米×10米×12米）</w:t>
                  </w:r>
                </w:p>
              </w:tc>
            </w:tr>
            <w:tr w14:paraId="639CF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7724FACF">
                  <w:pPr>
                    <w:snapToGrid w:val="0"/>
                    <w:jc w:val="center"/>
                    <w:rPr>
                      <w:szCs w:val="21"/>
                    </w:rPr>
                  </w:pPr>
                </w:p>
              </w:tc>
              <w:tc>
                <w:tcPr>
                  <w:tcW w:w="1778" w:type="pct"/>
                  <w:gridSpan w:val="3"/>
                  <w:vAlign w:val="center"/>
                </w:tcPr>
                <w:p w14:paraId="60B6D920">
                  <w:pPr>
                    <w:snapToGrid w:val="0"/>
                    <w:jc w:val="center"/>
                    <w:rPr>
                      <w:szCs w:val="21"/>
                    </w:rPr>
                  </w:pPr>
                  <w:r>
                    <w:rPr>
                      <w:rFonts w:hint="eastAsia"/>
                      <w:szCs w:val="21"/>
                    </w:rPr>
                    <w:t>危废</w:t>
                  </w:r>
                  <w:r>
                    <w:rPr>
                      <w:rFonts w:hint="eastAsia"/>
                      <w:color w:val="000000"/>
                      <w:szCs w:val="21"/>
                    </w:rPr>
                    <w:t>贮存库</w:t>
                  </w:r>
                </w:p>
              </w:tc>
              <w:tc>
                <w:tcPr>
                  <w:tcW w:w="2946" w:type="pct"/>
                  <w:vAlign w:val="center"/>
                </w:tcPr>
                <w:p w14:paraId="61B47943">
                  <w:pPr>
                    <w:snapToGrid w:val="0"/>
                    <w:jc w:val="center"/>
                    <w:rPr>
                      <w:szCs w:val="21"/>
                    </w:rPr>
                  </w:pPr>
                  <w:r>
                    <w:rPr>
                      <w:color w:val="000000"/>
                      <w:szCs w:val="21"/>
                    </w:rPr>
                    <w:t>占地面积20m</w:t>
                  </w:r>
                  <w:r>
                    <w:rPr>
                      <w:color w:val="000000"/>
                      <w:szCs w:val="21"/>
                      <w:vertAlign w:val="superscript"/>
                    </w:rPr>
                    <w:t>2</w:t>
                  </w:r>
                  <w:r>
                    <w:rPr>
                      <w:rFonts w:hint="eastAsia"/>
                      <w:color w:val="000000"/>
                      <w:szCs w:val="21"/>
                    </w:rPr>
                    <w:t>（</w:t>
                  </w:r>
                  <w:r>
                    <w:rPr>
                      <w:color w:val="000000"/>
                      <w:szCs w:val="21"/>
                    </w:rPr>
                    <w:t>4</w:t>
                  </w:r>
                  <w:r>
                    <w:rPr>
                      <w:rFonts w:hint="eastAsia"/>
                      <w:color w:val="000000"/>
                      <w:szCs w:val="21"/>
                    </w:rPr>
                    <w:t>m×</w:t>
                  </w:r>
                  <w:r>
                    <w:rPr>
                      <w:color w:val="000000"/>
                      <w:szCs w:val="21"/>
                    </w:rPr>
                    <w:t>5</w:t>
                  </w:r>
                  <w:r>
                    <w:rPr>
                      <w:rFonts w:hint="eastAsia"/>
                      <w:color w:val="000000"/>
                      <w:szCs w:val="21"/>
                    </w:rPr>
                    <w:t>m×5m）</w:t>
                  </w:r>
                </w:p>
              </w:tc>
            </w:tr>
            <w:tr w14:paraId="48DE8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restart"/>
                  <w:vAlign w:val="center"/>
                </w:tcPr>
                <w:p w14:paraId="1854F10F">
                  <w:pPr>
                    <w:snapToGrid w:val="0"/>
                    <w:jc w:val="center"/>
                    <w:rPr>
                      <w:szCs w:val="21"/>
                    </w:rPr>
                  </w:pPr>
                  <w:r>
                    <w:rPr>
                      <w:szCs w:val="21"/>
                    </w:rPr>
                    <w:t>公用工程</w:t>
                  </w:r>
                </w:p>
              </w:tc>
              <w:tc>
                <w:tcPr>
                  <w:tcW w:w="1778" w:type="pct"/>
                  <w:gridSpan w:val="3"/>
                  <w:vAlign w:val="center"/>
                </w:tcPr>
                <w:p w14:paraId="0DB094AF">
                  <w:pPr>
                    <w:snapToGrid w:val="0"/>
                    <w:jc w:val="center"/>
                    <w:rPr>
                      <w:szCs w:val="21"/>
                    </w:rPr>
                  </w:pPr>
                  <w:r>
                    <w:rPr>
                      <w:rFonts w:hint="eastAsia"/>
                      <w:szCs w:val="21"/>
                    </w:rPr>
                    <w:t>供电</w:t>
                  </w:r>
                </w:p>
              </w:tc>
              <w:tc>
                <w:tcPr>
                  <w:tcW w:w="2946" w:type="pct"/>
                  <w:vAlign w:val="center"/>
                </w:tcPr>
                <w:p w14:paraId="4A44B4F2">
                  <w:pPr>
                    <w:snapToGrid w:val="0"/>
                    <w:jc w:val="center"/>
                    <w:rPr>
                      <w:szCs w:val="21"/>
                    </w:rPr>
                  </w:pPr>
                  <w:r>
                    <w:rPr>
                      <w:rFonts w:hint="eastAsia"/>
                      <w:szCs w:val="21"/>
                    </w:rPr>
                    <w:t>用电引自呼家湾村供电线</w:t>
                  </w:r>
                </w:p>
              </w:tc>
            </w:tr>
            <w:tr w14:paraId="69950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1C7AAB66">
                  <w:pPr>
                    <w:snapToGrid w:val="0"/>
                    <w:jc w:val="center"/>
                    <w:rPr>
                      <w:szCs w:val="21"/>
                    </w:rPr>
                  </w:pPr>
                </w:p>
              </w:tc>
              <w:tc>
                <w:tcPr>
                  <w:tcW w:w="1778" w:type="pct"/>
                  <w:gridSpan w:val="3"/>
                  <w:vAlign w:val="center"/>
                </w:tcPr>
                <w:p w14:paraId="290E2366">
                  <w:pPr>
                    <w:snapToGrid w:val="0"/>
                    <w:jc w:val="center"/>
                    <w:rPr>
                      <w:szCs w:val="21"/>
                    </w:rPr>
                  </w:pPr>
                  <w:r>
                    <w:rPr>
                      <w:rFonts w:hint="eastAsia"/>
                      <w:szCs w:val="21"/>
                    </w:rPr>
                    <w:t>供水</w:t>
                  </w:r>
                </w:p>
              </w:tc>
              <w:tc>
                <w:tcPr>
                  <w:tcW w:w="2946" w:type="pct"/>
                  <w:vAlign w:val="center"/>
                </w:tcPr>
                <w:p w14:paraId="1E70D480">
                  <w:pPr>
                    <w:snapToGrid w:val="0"/>
                    <w:jc w:val="center"/>
                    <w:rPr>
                      <w:szCs w:val="21"/>
                    </w:rPr>
                  </w:pPr>
                  <w:r>
                    <w:rPr>
                      <w:rFonts w:hint="eastAsia"/>
                      <w:szCs w:val="21"/>
                    </w:rPr>
                    <w:t>由呼家湾村集中供水工程供给</w:t>
                  </w:r>
                </w:p>
              </w:tc>
            </w:tr>
            <w:tr w14:paraId="4DBD0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145AEA8D">
                  <w:pPr>
                    <w:snapToGrid w:val="0"/>
                    <w:jc w:val="center"/>
                    <w:rPr>
                      <w:szCs w:val="21"/>
                    </w:rPr>
                  </w:pPr>
                </w:p>
              </w:tc>
              <w:tc>
                <w:tcPr>
                  <w:tcW w:w="1778" w:type="pct"/>
                  <w:gridSpan w:val="3"/>
                  <w:vAlign w:val="center"/>
                </w:tcPr>
                <w:p w14:paraId="7EE4D678">
                  <w:pPr>
                    <w:snapToGrid w:val="0"/>
                    <w:jc w:val="center"/>
                    <w:rPr>
                      <w:szCs w:val="21"/>
                    </w:rPr>
                  </w:pPr>
                  <w:r>
                    <w:rPr>
                      <w:szCs w:val="21"/>
                    </w:rPr>
                    <w:t>排水</w:t>
                  </w:r>
                </w:p>
              </w:tc>
              <w:tc>
                <w:tcPr>
                  <w:tcW w:w="2946" w:type="pct"/>
                  <w:vAlign w:val="center"/>
                </w:tcPr>
                <w:p w14:paraId="2C04C317">
                  <w:pPr>
                    <w:snapToGrid w:val="0"/>
                    <w:jc w:val="center"/>
                    <w:rPr>
                      <w:szCs w:val="21"/>
                    </w:rPr>
                  </w:pPr>
                  <w:r>
                    <w:rPr>
                      <w:rFonts w:hint="eastAsia"/>
                      <w:szCs w:val="21"/>
                    </w:rPr>
                    <w:t>洗车废水经沉淀后全部回用；生活污水排入化粪池，定期清掏</w:t>
                  </w:r>
                </w:p>
              </w:tc>
            </w:tr>
            <w:tr w14:paraId="42FF0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6808345B">
                  <w:pPr>
                    <w:snapToGrid w:val="0"/>
                    <w:jc w:val="center"/>
                    <w:rPr>
                      <w:szCs w:val="21"/>
                      <w:highlight w:val="yellow"/>
                    </w:rPr>
                  </w:pPr>
                </w:p>
              </w:tc>
              <w:tc>
                <w:tcPr>
                  <w:tcW w:w="1778" w:type="pct"/>
                  <w:gridSpan w:val="3"/>
                  <w:vAlign w:val="center"/>
                </w:tcPr>
                <w:p w14:paraId="1DCD7F9F">
                  <w:pPr>
                    <w:snapToGrid w:val="0"/>
                    <w:jc w:val="center"/>
                    <w:rPr>
                      <w:szCs w:val="21"/>
                    </w:rPr>
                  </w:pPr>
                  <w:r>
                    <w:rPr>
                      <w:szCs w:val="21"/>
                    </w:rPr>
                    <w:t>采暖</w:t>
                  </w:r>
                </w:p>
              </w:tc>
              <w:tc>
                <w:tcPr>
                  <w:tcW w:w="2946" w:type="pct"/>
                  <w:vAlign w:val="center"/>
                </w:tcPr>
                <w:p w14:paraId="6FA5B433">
                  <w:pPr>
                    <w:snapToGrid w:val="0"/>
                    <w:jc w:val="center"/>
                    <w:rPr>
                      <w:szCs w:val="21"/>
                    </w:rPr>
                  </w:pPr>
                  <w:r>
                    <w:rPr>
                      <w:szCs w:val="21"/>
                    </w:rPr>
                    <w:t>办公室采用</w:t>
                  </w:r>
                  <w:r>
                    <w:rPr>
                      <w:rFonts w:hint="eastAsia"/>
                      <w:szCs w:val="21"/>
                    </w:rPr>
                    <w:t>空调采暖及制冷，生产区不供暖。</w:t>
                  </w:r>
                </w:p>
              </w:tc>
            </w:tr>
            <w:tr w14:paraId="43785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4D7F0E5F">
                  <w:pPr>
                    <w:snapToGrid w:val="0"/>
                    <w:jc w:val="center"/>
                    <w:rPr>
                      <w:szCs w:val="21"/>
                      <w:highlight w:val="yellow"/>
                    </w:rPr>
                  </w:pPr>
                </w:p>
              </w:tc>
              <w:tc>
                <w:tcPr>
                  <w:tcW w:w="1778" w:type="pct"/>
                  <w:gridSpan w:val="3"/>
                  <w:vAlign w:val="center"/>
                </w:tcPr>
                <w:p w14:paraId="1E573040">
                  <w:pPr>
                    <w:snapToGrid w:val="0"/>
                    <w:jc w:val="center"/>
                    <w:rPr>
                      <w:szCs w:val="21"/>
                    </w:rPr>
                  </w:pPr>
                  <w:r>
                    <w:rPr>
                      <w:rFonts w:hint="eastAsia"/>
                      <w:szCs w:val="21"/>
                    </w:rPr>
                    <w:t>厂区连接道路</w:t>
                  </w:r>
                </w:p>
              </w:tc>
              <w:tc>
                <w:tcPr>
                  <w:tcW w:w="2946" w:type="pct"/>
                  <w:vAlign w:val="center"/>
                </w:tcPr>
                <w:p w14:paraId="11E2C3A5">
                  <w:pPr>
                    <w:snapToGrid w:val="0"/>
                    <w:jc w:val="center"/>
                    <w:rPr>
                      <w:szCs w:val="21"/>
                    </w:rPr>
                  </w:pPr>
                  <w:r>
                    <w:rPr>
                      <w:rFonts w:hint="eastAsia"/>
                      <w:szCs w:val="21"/>
                    </w:rPr>
                    <w:t>东西厂区连接道路宽</w:t>
                  </w:r>
                  <w:r>
                    <w:rPr>
                      <w:szCs w:val="21"/>
                    </w:rPr>
                    <w:t>3.5</w:t>
                  </w:r>
                  <w:r>
                    <w:rPr>
                      <w:rFonts w:hint="eastAsia"/>
                      <w:szCs w:val="21"/>
                    </w:rPr>
                    <w:t>米，长约</w:t>
                  </w:r>
                  <w:r>
                    <w:rPr>
                      <w:szCs w:val="21"/>
                    </w:rPr>
                    <w:t>1</w:t>
                  </w:r>
                  <w:r>
                    <w:rPr>
                      <w:rFonts w:hint="eastAsia"/>
                      <w:szCs w:val="21"/>
                    </w:rPr>
                    <w:t>74米。东侧厂区至乡道Y001道路宽3.5米，长约45米</w:t>
                  </w:r>
                </w:p>
              </w:tc>
            </w:tr>
            <w:tr w14:paraId="336BE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76" w:type="pct"/>
                  <w:vMerge w:val="restart"/>
                  <w:vAlign w:val="center"/>
                </w:tcPr>
                <w:p w14:paraId="4CAE434D">
                  <w:pPr>
                    <w:snapToGrid w:val="0"/>
                    <w:jc w:val="center"/>
                    <w:rPr>
                      <w:szCs w:val="21"/>
                    </w:rPr>
                  </w:pPr>
                  <w:r>
                    <w:rPr>
                      <w:szCs w:val="21"/>
                    </w:rPr>
                    <w:t>环保工程</w:t>
                  </w:r>
                </w:p>
              </w:tc>
              <w:tc>
                <w:tcPr>
                  <w:tcW w:w="625" w:type="pct"/>
                  <w:vMerge w:val="restart"/>
                  <w:vAlign w:val="center"/>
                </w:tcPr>
                <w:p w14:paraId="1DFC0F93">
                  <w:pPr>
                    <w:snapToGrid w:val="0"/>
                    <w:jc w:val="center"/>
                    <w:rPr>
                      <w:szCs w:val="21"/>
                    </w:rPr>
                  </w:pPr>
                  <w:r>
                    <w:rPr>
                      <w:szCs w:val="21"/>
                    </w:rPr>
                    <w:t>废气</w:t>
                  </w:r>
                </w:p>
              </w:tc>
              <w:tc>
                <w:tcPr>
                  <w:tcW w:w="1153" w:type="pct"/>
                  <w:gridSpan w:val="2"/>
                  <w:vAlign w:val="center"/>
                </w:tcPr>
                <w:p w14:paraId="6C092377">
                  <w:pPr>
                    <w:snapToGrid w:val="0"/>
                    <w:jc w:val="center"/>
                    <w:textAlignment w:val="baseline"/>
                    <w:rPr>
                      <w:szCs w:val="21"/>
                    </w:rPr>
                  </w:pPr>
                  <w:r>
                    <w:rPr>
                      <w:rFonts w:hint="eastAsia"/>
                      <w:szCs w:val="21"/>
                    </w:rPr>
                    <w:t>砂库出料除尘器（1套）</w:t>
                  </w:r>
                </w:p>
              </w:tc>
              <w:tc>
                <w:tcPr>
                  <w:tcW w:w="2946" w:type="pct"/>
                  <w:vAlign w:val="center"/>
                </w:tcPr>
                <w:p w14:paraId="35A26E3D">
                  <w:pPr>
                    <w:snapToGrid w:val="0"/>
                    <w:textAlignment w:val="baseline"/>
                  </w:pPr>
                  <w:r>
                    <w:rPr>
                      <w:rFonts w:hint="eastAsia"/>
                    </w:rPr>
                    <w:t>砂子进入受料斗产生的粉尘</w:t>
                  </w:r>
                  <w:r>
                    <w:t>经</w:t>
                  </w:r>
                  <w:r>
                    <w:rPr>
                      <w:rFonts w:hint="eastAsia"/>
                    </w:rPr>
                    <w:t>集尘罩</w:t>
                  </w:r>
                  <w:r>
                    <w:t>收集后</w:t>
                  </w:r>
                  <w:r>
                    <w:rPr>
                      <w:rFonts w:hint="eastAsia"/>
                    </w:rPr>
                    <w:t>由</w:t>
                  </w:r>
                  <w:r>
                    <w:t>布袋除尘器处理，处理风量</w:t>
                  </w:r>
                  <w:r>
                    <w:rPr>
                      <w:rFonts w:hint="eastAsia"/>
                    </w:rPr>
                    <w:t>26000</w:t>
                  </w:r>
                  <w:r>
                    <w:t>m</w:t>
                  </w:r>
                  <w:r>
                    <w:rPr>
                      <w:vertAlign w:val="superscript"/>
                    </w:rPr>
                    <w:t>3</w:t>
                  </w:r>
                  <w:r>
                    <w:t>/h，处理后粉尘排放浓度小于10mg/m</w:t>
                  </w:r>
                  <w:r>
                    <w:rPr>
                      <w:vertAlign w:val="superscript"/>
                    </w:rPr>
                    <w:t>3</w:t>
                  </w:r>
                  <w:r>
                    <w:t>，废气经</w:t>
                  </w:r>
                  <w:r>
                    <w:rPr>
                      <w:rFonts w:hint="eastAsia"/>
                    </w:rPr>
                    <w:t>15</w:t>
                  </w:r>
                  <w:r>
                    <w:t>m高φ0.</w:t>
                  </w:r>
                  <w:r>
                    <w:rPr>
                      <w:rFonts w:hint="eastAsia"/>
                    </w:rPr>
                    <w:t>75</w:t>
                  </w:r>
                  <w:r>
                    <w:t>m的排气筒（DA00</w:t>
                  </w:r>
                  <w:r>
                    <w:rPr>
                      <w:rFonts w:hint="eastAsia"/>
                    </w:rPr>
                    <w:t>1</w:t>
                  </w:r>
                  <w:r>
                    <w:t>）排放。</w:t>
                  </w:r>
                </w:p>
              </w:tc>
            </w:tr>
            <w:tr w14:paraId="3E6EB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4D1B1117">
                  <w:pPr>
                    <w:snapToGrid w:val="0"/>
                    <w:jc w:val="center"/>
                    <w:rPr>
                      <w:szCs w:val="21"/>
                    </w:rPr>
                  </w:pPr>
                </w:p>
              </w:tc>
              <w:tc>
                <w:tcPr>
                  <w:tcW w:w="625" w:type="pct"/>
                  <w:vMerge w:val="continue"/>
                  <w:vAlign w:val="center"/>
                </w:tcPr>
                <w:p w14:paraId="78B1298D">
                  <w:pPr>
                    <w:snapToGrid w:val="0"/>
                    <w:jc w:val="center"/>
                    <w:rPr>
                      <w:szCs w:val="21"/>
                    </w:rPr>
                  </w:pPr>
                </w:p>
              </w:tc>
              <w:tc>
                <w:tcPr>
                  <w:tcW w:w="1153" w:type="pct"/>
                  <w:gridSpan w:val="2"/>
                  <w:vAlign w:val="center"/>
                </w:tcPr>
                <w:p w14:paraId="0EB6949E">
                  <w:pPr>
                    <w:snapToGrid w:val="0"/>
                    <w:jc w:val="center"/>
                    <w:textAlignment w:val="baseline"/>
                    <w:rPr>
                      <w:szCs w:val="21"/>
                    </w:rPr>
                  </w:pPr>
                  <w:r>
                    <w:rPr>
                      <w:rFonts w:hint="eastAsia"/>
                      <w:szCs w:val="21"/>
                    </w:rPr>
                    <w:t>主楼除尘器</w:t>
                  </w:r>
                </w:p>
                <w:p w14:paraId="0D702879">
                  <w:pPr>
                    <w:snapToGrid w:val="0"/>
                    <w:jc w:val="center"/>
                    <w:textAlignment w:val="baseline"/>
                    <w:rPr>
                      <w:szCs w:val="21"/>
                    </w:rPr>
                  </w:pPr>
                  <w:r>
                    <w:rPr>
                      <w:rFonts w:hint="eastAsia"/>
                      <w:szCs w:val="21"/>
                    </w:rPr>
                    <w:t>（1套）</w:t>
                  </w:r>
                </w:p>
              </w:tc>
              <w:tc>
                <w:tcPr>
                  <w:tcW w:w="2946" w:type="pct"/>
                  <w:vAlign w:val="center"/>
                </w:tcPr>
                <w:p w14:paraId="22CD70D7">
                  <w:pPr>
                    <w:rPr>
                      <w:szCs w:val="21"/>
                    </w:rPr>
                  </w:pPr>
                  <w:r>
                    <w:t>搅拌系统砂暂存仓计量称、水泥计量称和搅拌机粉尘统一收集后经主楼除尘器处理，选用</w:t>
                  </w:r>
                  <w:r>
                    <w:rPr>
                      <w:rFonts w:hint="eastAsia"/>
                    </w:rPr>
                    <w:t>布袋除</w:t>
                  </w:r>
                  <w:r>
                    <w:t>尘器，处理风量4320-8640m</w:t>
                  </w:r>
                  <w:r>
                    <w:rPr>
                      <w:vertAlign w:val="superscript"/>
                    </w:rPr>
                    <w:t>3</w:t>
                  </w:r>
                  <w:r>
                    <w:t>/h，处理后粉尘排放浓度小于10mg/m</w:t>
                  </w:r>
                  <w:r>
                    <w:rPr>
                      <w:vertAlign w:val="superscript"/>
                    </w:rPr>
                    <w:t>3</w:t>
                  </w:r>
                  <w:r>
                    <w:t>，废气</w:t>
                  </w:r>
                  <w:r>
                    <w:rPr>
                      <w:rFonts w:hint="eastAsia"/>
                    </w:rPr>
                    <w:t>和包装机除尘器、主楼散装除尘器共用一个排气筒（DA002），排气筒</w:t>
                  </w:r>
                  <w:r>
                    <w:t>18m高φ0.</w:t>
                  </w:r>
                  <w:r>
                    <w:rPr>
                      <w:rFonts w:hint="eastAsia"/>
                    </w:rPr>
                    <w:t>6</w:t>
                  </w:r>
                  <w:r>
                    <w:t>m。</w:t>
                  </w:r>
                </w:p>
              </w:tc>
            </w:tr>
            <w:tr w14:paraId="076C8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391BFDB5">
                  <w:pPr>
                    <w:snapToGrid w:val="0"/>
                    <w:jc w:val="center"/>
                    <w:rPr>
                      <w:szCs w:val="21"/>
                    </w:rPr>
                  </w:pPr>
                </w:p>
              </w:tc>
              <w:tc>
                <w:tcPr>
                  <w:tcW w:w="625" w:type="pct"/>
                  <w:vMerge w:val="continue"/>
                  <w:vAlign w:val="center"/>
                </w:tcPr>
                <w:p w14:paraId="3D11CB4E">
                  <w:pPr>
                    <w:snapToGrid w:val="0"/>
                    <w:jc w:val="center"/>
                    <w:rPr>
                      <w:szCs w:val="21"/>
                    </w:rPr>
                  </w:pPr>
                </w:p>
              </w:tc>
              <w:tc>
                <w:tcPr>
                  <w:tcW w:w="1153" w:type="pct"/>
                  <w:gridSpan w:val="2"/>
                  <w:vAlign w:val="center"/>
                </w:tcPr>
                <w:p w14:paraId="2CAF23E4">
                  <w:pPr>
                    <w:snapToGrid w:val="0"/>
                    <w:jc w:val="center"/>
                    <w:textAlignment w:val="baseline"/>
                    <w:rPr>
                      <w:szCs w:val="21"/>
                    </w:rPr>
                  </w:pPr>
                  <w:r>
                    <w:rPr>
                      <w:rFonts w:hint="eastAsia"/>
                      <w:szCs w:val="21"/>
                    </w:rPr>
                    <w:t>包装机除尘器</w:t>
                  </w:r>
                </w:p>
                <w:p w14:paraId="5600A989">
                  <w:pPr>
                    <w:snapToGrid w:val="0"/>
                    <w:jc w:val="center"/>
                    <w:textAlignment w:val="baseline"/>
                    <w:rPr>
                      <w:szCs w:val="21"/>
                    </w:rPr>
                  </w:pPr>
                  <w:r>
                    <w:rPr>
                      <w:rFonts w:hint="eastAsia"/>
                      <w:szCs w:val="21"/>
                    </w:rPr>
                    <w:t>（1套）</w:t>
                  </w:r>
                </w:p>
              </w:tc>
              <w:tc>
                <w:tcPr>
                  <w:tcW w:w="2946" w:type="pct"/>
                  <w:vAlign w:val="center"/>
                </w:tcPr>
                <w:p w14:paraId="7274D717">
                  <w:pPr>
                    <w:snapToGrid w:val="0"/>
                    <w:textAlignment w:val="baseline"/>
                    <w:rPr>
                      <w:szCs w:val="21"/>
                    </w:rPr>
                  </w:pPr>
                  <w:r>
                    <w:t>袋装包装机产生的粉尘全部收集后经布袋除尘器处理，选用</w:t>
                  </w:r>
                  <w:r>
                    <w:rPr>
                      <w:rFonts w:hint="eastAsia"/>
                    </w:rPr>
                    <w:t>布袋除</w:t>
                  </w:r>
                  <w:r>
                    <w:t>尘器，处理风量5400-10800m</w:t>
                  </w:r>
                  <w:r>
                    <w:rPr>
                      <w:vertAlign w:val="superscript"/>
                    </w:rPr>
                    <w:t>3</w:t>
                  </w:r>
                  <w:r>
                    <w:t>/h，处理后粉尘排放浓度小于10mg/m</w:t>
                  </w:r>
                  <w:r>
                    <w:rPr>
                      <w:vertAlign w:val="superscript"/>
                    </w:rPr>
                    <w:t>3</w:t>
                  </w:r>
                  <w:r>
                    <w:t>，废气</w:t>
                  </w:r>
                  <w:r>
                    <w:rPr>
                      <w:rFonts w:hint="eastAsia"/>
                    </w:rPr>
                    <w:t>和主楼除尘器、主楼散装除尘器共用一个排气筒（DA002），排气筒</w:t>
                  </w:r>
                  <w:r>
                    <w:t>18m高φ0</w:t>
                  </w:r>
                  <w:r>
                    <w:rPr>
                      <w:rFonts w:hint="eastAsia"/>
                    </w:rPr>
                    <w:t>.6</w:t>
                  </w:r>
                  <w:r>
                    <w:t>m。</w:t>
                  </w:r>
                </w:p>
              </w:tc>
            </w:tr>
            <w:tr w14:paraId="2313B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690CA974">
                  <w:pPr>
                    <w:snapToGrid w:val="0"/>
                    <w:jc w:val="center"/>
                    <w:rPr>
                      <w:szCs w:val="21"/>
                    </w:rPr>
                  </w:pPr>
                </w:p>
              </w:tc>
              <w:tc>
                <w:tcPr>
                  <w:tcW w:w="625" w:type="pct"/>
                  <w:vMerge w:val="continue"/>
                  <w:vAlign w:val="center"/>
                </w:tcPr>
                <w:p w14:paraId="5E1CDCDF">
                  <w:pPr>
                    <w:snapToGrid w:val="0"/>
                    <w:jc w:val="center"/>
                    <w:rPr>
                      <w:szCs w:val="21"/>
                    </w:rPr>
                  </w:pPr>
                </w:p>
              </w:tc>
              <w:tc>
                <w:tcPr>
                  <w:tcW w:w="1153" w:type="pct"/>
                  <w:gridSpan w:val="2"/>
                  <w:vAlign w:val="center"/>
                </w:tcPr>
                <w:p w14:paraId="5DD92104">
                  <w:pPr>
                    <w:snapToGrid w:val="0"/>
                    <w:jc w:val="center"/>
                    <w:textAlignment w:val="baseline"/>
                    <w:rPr>
                      <w:szCs w:val="21"/>
                    </w:rPr>
                  </w:pPr>
                  <w:r>
                    <w:rPr>
                      <w:rFonts w:hint="eastAsia"/>
                      <w:szCs w:val="21"/>
                    </w:rPr>
                    <w:t>主楼散装除尘器</w:t>
                  </w:r>
                </w:p>
                <w:p w14:paraId="6DD4833F">
                  <w:pPr>
                    <w:snapToGrid w:val="0"/>
                    <w:jc w:val="center"/>
                    <w:textAlignment w:val="baseline"/>
                    <w:rPr>
                      <w:szCs w:val="21"/>
                    </w:rPr>
                  </w:pPr>
                  <w:r>
                    <w:rPr>
                      <w:rFonts w:hint="eastAsia"/>
                      <w:szCs w:val="21"/>
                    </w:rPr>
                    <w:t>（1套）</w:t>
                  </w:r>
                </w:p>
              </w:tc>
              <w:tc>
                <w:tcPr>
                  <w:tcW w:w="2946" w:type="pct"/>
                  <w:vAlign w:val="center"/>
                </w:tcPr>
                <w:p w14:paraId="0CBBFE34">
                  <w:pPr>
                    <w:snapToGrid w:val="0"/>
                    <w:textAlignment w:val="baseline"/>
                    <w:rPr>
                      <w:szCs w:val="21"/>
                    </w:rPr>
                  </w:pPr>
                  <w:r>
                    <w:t>主楼散装工序产生的粉尘收集后经布袋除尘器处理，选用</w:t>
                  </w:r>
                  <w:r>
                    <w:rPr>
                      <w:rFonts w:hint="eastAsia"/>
                    </w:rPr>
                    <w:t>布袋除尘器</w:t>
                  </w:r>
                  <w:r>
                    <w:t>，处理风量2160-4320m</w:t>
                  </w:r>
                  <w:r>
                    <w:rPr>
                      <w:vertAlign w:val="superscript"/>
                    </w:rPr>
                    <w:t>3</w:t>
                  </w:r>
                  <w:r>
                    <w:t>/h，处 理后粉尘排放浓度小于10mg/m</w:t>
                  </w:r>
                  <w:r>
                    <w:rPr>
                      <w:vertAlign w:val="superscript"/>
                    </w:rPr>
                    <w:t>3</w:t>
                  </w:r>
                  <w:r>
                    <w:t>，废气</w:t>
                  </w:r>
                  <w:r>
                    <w:rPr>
                      <w:rFonts w:hint="eastAsia"/>
                    </w:rPr>
                    <w:t>和包装机除尘器、主楼除尘器共用一个排气筒（DA002），排气筒</w:t>
                  </w:r>
                  <w:r>
                    <w:t>18m高φ0</w:t>
                  </w:r>
                  <w:r>
                    <w:rPr>
                      <w:rFonts w:hint="eastAsia"/>
                    </w:rPr>
                    <w:t>.6</w:t>
                  </w:r>
                  <w:r>
                    <w:t>m。</w:t>
                  </w:r>
                </w:p>
              </w:tc>
            </w:tr>
            <w:tr w14:paraId="6D5E6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474D283C">
                  <w:pPr>
                    <w:snapToGrid w:val="0"/>
                    <w:jc w:val="center"/>
                    <w:rPr>
                      <w:szCs w:val="21"/>
                    </w:rPr>
                  </w:pPr>
                </w:p>
              </w:tc>
              <w:tc>
                <w:tcPr>
                  <w:tcW w:w="625" w:type="pct"/>
                  <w:vMerge w:val="continue"/>
                  <w:vAlign w:val="center"/>
                </w:tcPr>
                <w:p w14:paraId="2E254147">
                  <w:pPr>
                    <w:snapToGrid w:val="0"/>
                    <w:jc w:val="center"/>
                    <w:rPr>
                      <w:szCs w:val="21"/>
                    </w:rPr>
                  </w:pPr>
                </w:p>
              </w:tc>
              <w:tc>
                <w:tcPr>
                  <w:tcW w:w="1153" w:type="pct"/>
                  <w:gridSpan w:val="2"/>
                  <w:vAlign w:val="center"/>
                </w:tcPr>
                <w:p w14:paraId="7BD56DF8">
                  <w:pPr>
                    <w:snapToGrid w:val="0"/>
                    <w:jc w:val="center"/>
                    <w:textAlignment w:val="baseline"/>
                    <w:rPr>
                      <w:szCs w:val="21"/>
                    </w:rPr>
                  </w:pPr>
                  <w:r>
                    <w:rPr>
                      <w:rFonts w:hint="eastAsia"/>
                      <w:szCs w:val="21"/>
                    </w:rPr>
                    <w:t>成品仓仓顶除尘器</w:t>
                  </w:r>
                </w:p>
                <w:p w14:paraId="45E8AE04">
                  <w:pPr>
                    <w:snapToGrid w:val="0"/>
                    <w:jc w:val="center"/>
                    <w:textAlignment w:val="baseline"/>
                    <w:rPr>
                      <w:szCs w:val="21"/>
                    </w:rPr>
                  </w:pPr>
                  <w:r>
                    <w:rPr>
                      <w:rFonts w:hint="eastAsia"/>
                      <w:szCs w:val="21"/>
                    </w:rPr>
                    <w:t>（1套）</w:t>
                  </w:r>
                </w:p>
              </w:tc>
              <w:tc>
                <w:tcPr>
                  <w:tcW w:w="2946" w:type="pct"/>
                  <w:vAlign w:val="center"/>
                </w:tcPr>
                <w:p w14:paraId="0A68B117">
                  <w:pPr>
                    <w:snapToGrid w:val="0"/>
                    <w:textAlignment w:val="baseline"/>
                    <w:rPr>
                      <w:szCs w:val="21"/>
                    </w:rPr>
                  </w:pPr>
                  <w:r>
                    <w:t>成品提升机和成品仓物料进仓呼吸产生的含尘气体统一引至仓顶除尘器处理，选用</w:t>
                  </w:r>
                  <w:r>
                    <w:rPr>
                      <w:rFonts w:hint="eastAsia"/>
                    </w:rPr>
                    <w:t>布袋除尘器</w:t>
                  </w:r>
                  <w:r>
                    <w:t>，处理风量2160-4320m</w:t>
                  </w:r>
                  <w:r>
                    <w:rPr>
                      <w:vertAlign w:val="superscript"/>
                    </w:rPr>
                    <w:t>3</w:t>
                  </w:r>
                  <w:r>
                    <w:t>/h，处理后粉尘排放浓度小于10mg/m</w:t>
                  </w:r>
                  <w:r>
                    <w:rPr>
                      <w:vertAlign w:val="superscript"/>
                    </w:rPr>
                    <w:t>3</w:t>
                  </w:r>
                  <w:r>
                    <w:t>，废气经19m高φ0.3m的排气筒（DA00</w:t>
                  </w:r>
                  <w:r>
                    <w:rPr>
                      <w:rFonts w:hint="eastAsia"/>
                    </w:rPr>
                    <w:t>6</w:t>
                  </w:r>
                  <w:r>
                    <w:t>）排 放。</w:t>
                  </w:r>
                </w:p>
              </w:tc>
            </w:tr>
            <w:tr w14:paraId="2E434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598DDC63">
                  <w:pPr>
                    <w:snapToGrid w:val="0"/>
                    <w:jc w:val="center"/>
                    <w:rPr>
                      <w:szCs w:val="21"/>
                    </w:rPr>
                  </w:pPr>
                </w:p>
              </w:tc>
              <w:tc>
                <w:tcPr>
                  <w:tcW w:w="625" w:type="pct"/>
                  <w:vMerge w:val="continue"/>
                  <w:vAlign w:val="center"/>
                </w:tcPr>
                <w:p w14:paraId="117F4F99">
                  <w:pPr>
                    <w:snapToGrid w:val="0"/>
                    <w:jc w:val="center"/>
                    <w:rPr>
                      <w:szCs w:val="21"/>
                    </w:rPr>
                  </w:pPr>
                </w:p>
              </w:tc>
              <w:tc>
                <w:tcPr>
                  <w:tcW w:w="1153" w:type="pct"/>
                  <w:gridSpan w:val="2"/>
                  <w:vAlign w:val="center"/>
                </w:tcPr>
                <w:p w14:paraId="441E102D">
                  <w:pPr>
                    <w:snapToGrid w:val="0"/>
                    <w:jc w:val="center"/>
                    <w:textAlignment w:val="baseline"/>
                    <w:rPr>
                      <w:szCs w:val="21"/>
                    </w:rPr>
                  </w:pPr>
                  <w:r>
                    <w:rPr>
                      <w:rFonts w:hint="eastAsia"/>
                      <w:szCs w:val="21"/>
                    </w:rPr>
                    <w:t>成品仓散装除尘器</w:t>
                  </w:r>
                </w:p>
                <w:p w14:paraId="505F5B99">
                  <w:pPr>
                    <w:snapToGrid w:val="0"/>
                    <w:jc w:val="center"/>
                    <w:textAlignment w:val="baseline"/>
                    <w:rPr>
                      <w:szCs w:val="21"/>
                    </w:rPr>
                  </w:pPr>
                  <w:r>
                    <w:rPr>
                      <w:rFonts w:hint="eastAsia"/>
                      <w:szCs w:val="21"/>
                    </w:rPr>
                    <w:t>（1套）</w:t>
                  </w:r>
                </w:p>
              </w:tc>
              <w:tc>
                <w:tcPr>
                  <w:tcW w:w="2946" w:type="pct"/>
                  <w:vAlign w:val="center"/>
                </w:tcPr>
                <w:p w14:paraId="7549E0D5">
                  <w:pPr>
                    <w:snapToGrid w:val="0"/>
                    <w:textAlignment w:val="baseline"/>
                    <w:rPr>
                      <w:szCs w:val="21"/>
                    </w:rPr>
                  </w:pPr>
                  <w:r>
                    <w:t>成品仓装车时产生的粉尘收集后经布袋除尘器处理，选用</w:t>
                  </w:r>
                  <w:r>
                    <w:rPr>
                      <w:rFonts w:hint="eastAsia"/>
                    </w:rPr>
                    <w:t>布袋除尘器</w:t>
                  </w:r>
                  <w:r>
                    <w:t>，处理风量2160-4320m</w:t>
                  </w:r>
                  <w:r>
                    <w:rPr>
                      <w:vertAlign w:val="superscript"/>
                    </w:rPr>
                    <w:t>3</w:t>
                  </w:r>
                  <w:r>
                    <w:t>/h，处</w:t>
                  </w:r>
                  <w:r>
                    <w:rPr>
                      <w:spacing w:val="-2"/>
                      <w:szCs w:val="21"/>
                    </w:rPr>
                    <w:t>理后粉尘排放浓度小于</w:t>
                  </w:r>
                  <w:r>
                    <w:rPr>
                      <w:rFonts w:eastAsia="Times New Roman"/>
                      <w:spacing w:val="-2"/>
                      <w:szCs w:val="21"/>
                    </w:rPr>
                    <w:t>10mg/m</w:t>
                  </w:r>
                  <w:r>
                    <w:rPr>
                      <w:rFonts w:eastAsia="Times New Roman"/>
                      <w:spacing w:val="-2"/>
                      <w:position w:val="6"/>
                      <w:sz w:val="13"/>
                      <w:szCs w:val="13"/>
                    </w:rPr>
                    <w:t>3</w:t>
                  </w:r>
                  <w:r>
                    <w:rPr>
                      <w:spacing w:val="-2"/>
                      <w:szCs w:val="21"/>
                    </w:rPr>
                    <w:t>，废气经</w:t>
                  </w:r>
                  <w:r>
                    <w:rPr>
                      <w:rFonts w:eastAsia="Times New Roman"/>
                      <w:spacing w:val="-2"/>
                      <w:szCs w:val="21"/>
                    </w:rPr>
                    <w:t>19m</w:t>
                  </w:r>
                  <w:r>
                    <w:rPr>
                      <w:spacing w:val="-2"/>
                      <w:szCs w:val="21"/>
                    </w:rPr>
                    <w:t>高</w:t>
                  </w:r>
                  <w:r>
                    <w:rPr>
                      <w:spacing w:val="-3"/>
                      <w:szCs w:val="21"/>
                    </w:rPr>
                    <w:t>φ</w:t>
                  </w:r>
                  <w:r>
                    <w:rPr>
                      <w:rFonts w:eastAsia="Times New Roman"/>
                      <w:spacing w:val="-3"/>
                      <w:szCs w:val="21"/>
                    </w:rPr>
                    <w:t>0.3m</w:t>
                  </w:r>
                  <w:r>
                    <w:rPr>
                      <w:spacing w:val="-2"/>
                      <w:szCs w:val="21"/>
                    </w:rPr>
                    <w:t>的排气筒（</w:t>
                  </w:r>
                  <w:r>
                    <w:rPr>
                      <w:rFonts w:eastAsia="Times New Roman"/>
                      <w:spacing w:val="-2"/>
                      <w:szCs w:val="21"/>
                    </w:rPr>
                    <w:t>DA00</w:t>
                  </w:r>
                  <w:r>
                    <w:rPr>
                      <w:rFonts w:hint="eastAsia" w:eastAsiaTheme="minorEastAsia"/>
                      <w:spacing w:val="-2"/>
                      <w:szCs w:val="21"/>
                    </w:rPr>
                    <w:t>6</w:t>
                  </w:r>
                  <w:r>
                    <w:rPr>
                      <w:spacing w:val="-2"/>
                      <w:szCs w:val="21"/>
                    </w:rPr>
                    <w:t>）排放。</w:t>
                  </w:r>
                </w:p>
              </w:tc>
            </w:tr>
            <w:tr w14:paraId="4E133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66EB228C">
                  <w:pPr>
                    <w:snapToGrid w:val="0"/>
                    <w:jc w:val="center"/>
                    <w:rPr>
                      <w:szCs w:val="21"/>
                    </w:rPr>
                  </w:pPr>
                </w:p>
              </w:tc>
              <w:tc>
                <w:tcPr>
                  <w:tcW w:w="625" w:type="pct"/>
                  <w:vMerge w:val="continue"/>
                  <w:vAlign w:val="center"/>
                </w:tcPr>
                <w:p w14:paraId="071FA90D">
                  <w:pPr>
                    <w:snapToGrid w:val="0"/>
                    <w:jc w:val="center"/>
                    <w:rPr>
                      <w:szCs w:val="21"/>
                    </w:rPr>
                  </w:pPr>
                </w:p>
              </w:tc>
              <w:tc>
                <w:tcPr>
                  <w:tcW w:w="1153" w:type="pct"/>
                  <w:gridSpan w:val="2"/>
                  <w:vAlign w:val="center"/>
                </w:tcPr>
                <w:p w14:paraId="41FD2B0D">
                  <w:pPr>
                    <w:snapToGrid w:val="0"/>
                    <w:jc w:val="center"/>
                    <w:textAlignment w:val="baseline"/>
                    <w:rPr>
                      <w:szCs w:val="21"/>
                    </w:rPr>
                  </w:pPr>
                  <w:r>
                    <w:rPr>
                      <w:rFonts w:hint="eastAsia"/>
                      <w:szCs w:val="21"/>
                    </w:rPr>
                    <w:t>粉仓除尘器</w:t>
                  </w:r>
                </w:p>
                <w:p w14:paraId="28696B30">
                  <w:pPr>
                    <w:snapToGrid w:val="0"/>
                    <w:jc w:val="center"/>
                    <w:textAlignment w:val="baseline"/>
                    <w:rPr>
                      <w:szCs w:val="21"/>
                    </w:rPr>
                  </w:pPr>
                  <w:r>
                    <w:rPr>
                      <w:rFonts w:hint="eastAsia"/>
                      <w:szCs w:val="21"/>
                    </w:rPr>
                    <w:t>（3套）</w:t>
                  </w:r>
                </w:p>
              </w:tc>
              <w:tc>
                <w:tcPr>
                  <w:tcW w:w="2946" w:type="pct"/>
                  <w:vAlign w:val="center"/>
                </w:tcPr>
                <w:p w14:paraId="6F41E5A1">
                  <w:pPr>
                    <w:snapToGrid w:val="0"/>
                    <w:textAlignment w:val="baseline"/>
                    <w:rPr>
                      <w:szCs w:val="21"/>
                    </w:rPr>
                  </w:pPr>
                  <w:r>
                    <w:rPr>
                      <w:spacing w:val="-1"/>
                      <w:szCs w:val="21"/>
                    </w:rPr>
                    <w:t>水泥</w:t>
                  </w:r>
                  <w:r>
                    <w:rPr>
                      <w:rFonts w:eastAsia="Times New Roman"/>
                      <w:spacing w:val="-1"/>
                      <w:szCs w:val="21"/>
                    </w:rPr>
                    <w:t>/</w:t>
                  </w:r>
                  <w:r>
                    <w:rPr>
                      <w:spacing w:val="-1"/>
                      <w:szCs w:val="21"/>
                    </w:rPr>
                    <w:t>粉煤灰粉仓上料时产生的粉尘经仓顶呼吸口排出，</w:t>
                  </w:r>
                  <w:r>
                    <w:rPr>
                      <w:spacing w:val="18"/>
                      <w:szCs w:val="21"/>
                    </w:rPr>
                    <w:t xml:space="preserve"> </w:t>
                  </w:r>
                  <w:r>
                    <w:rPr>
                      <w:spacing w:val="3"/>
                      <w:szCs w:val="21"/>
                    </w:rPr>
                    <w:t>进入布袋除尘器处理后排放，选用</w:t>
                  </w:r>
                  <w:r>
                    <w:rPr>
                      <w:rFonts w:hint="eastAsia"/>
                      <w:spacing w:val="3"/>
                      <w:szCs w:val="21"/>
                    </w:rPr>
                    <w:t>布袋除尘器</w:t>
                  </w:r>
                  <w:r>
                    <w:rPr>
                      <w:spacing w:val="-1"/>
                      <w:szCs w:val="21"/>
                    </w:rPr>
                    <w:t>，处理风量</w:t>
                  </w:r>
                  <w:r>
                    <w:rPr>
                      <w:rFonts w:hint="eastAsia" w:eastAsiaTheme="minorEastAsia"/>
                      <w:spacing w:val="-1"/>
                      <w:szCs w:val="21"/>
                    </w:rPr>
                    <w:t>2100</w:t>
                  </w:r>
                  <w:r>
                    <w:rPr>
                      <w:rFonts w:eastAsia="Times New Roman"/>
                      <w:spacing w:val="-1"/>
                      <w:szCs w:val="21"/>
                    </w:rPr>
                    <w:t>m</w:t>
                  </w:r>
                  <w:r>
                    <w:rPr>
                      <w:rFonts w:eastAsia="Times New Roman"/>
                      <w:spacing w:val="-1"/>
                      <w:position w:val="6"/>
                      <w:sz w:val="13"/>
                      <w:szCs w:val="13"/>
                    </w:rPr>
                    <w:t>3</w:t>
                  </w:r>
                  <w:r>
                    <w:rPr>
                      <w:rFonts w:eastAsia="Times New Roman"/>
                      <w:spacing w:val="-1"/>
                      <w:szCs w:val="21"/>
                    </w:rPr>
                    <w:t>/h</w:t>
                  </w:r>
                  <w:r>
                    <w:rPr>
                      <w:spacing w:val="-1"/>
                      <w:szCs w:val="21"/>
                    </w:rPr>
                    <w:t>，处理后粉尘排放浓度小于</w:t>
                  </w:r>
                  <w:r>
                    <w:rPr>
                      <w:rFonts w:eastAsia="Times New Roman"/>
                      <w:szCs w:val="21"/>
                    </w:rPr>
                    <w:t>10mg/m</w:t>
                  </w:r>
                  <w:r>
                    <w:rPr>
                      <w:rFonts w:eastAsia="Times New Roman"/>
                      <w:position w:val="6"/>
                      <w:sz w:val="13"/>
                      <w:szCs w:val="13"/>
                    </w:rPr>
                    <w:t>3</w:t>
                  </w:r>
                  <w:r>
                    <w:rPr>
                      <w:szCs w:val="21"/>
                    </w:rPr>
                    <w:t>，废气经</w:t>
                  </w:r>
                  <w:r>
                    <w:rPr>
                      <w:rFonts w:eastAsia="Times New Roman"/>
                      <w:szCs w:val="21"/>
                    </w:rPr>
                    <w:t>29m</w:t>
                  </w:r>
                  <w:r>
                    <w:rPr>
                      <w:szCs w:val="21"/>
                    </w:rPr>
                    <w:t>高φ</w:t>
                  </w:r>
                  <w:r>
                    <w:rPr>
                      <w:rFonts w:eastAsia="Times New Roman"/>
                      <w:szCs w:val="21"/>
                    </w:rPr>
                    <w:t>0.</w:t>
                  </w:r>
                  <w:r>
                    <w:rPr>
                      <w:rFonts w:hint="eastAsia" w:eastAsiaTheme="minorEastAsia"/>
                      <w:szCs w:val="21"/>
                    </w:rPr>
                    <w:t>25</w:t>
                  </w:r>
                  <w:r>
                    <w:rPr>
                      <w:rFonts w:eastAsia="Times New Roman"/>
                      <w:szCs w:val="21"/>
                    </w:rPr>
                    <w:t>m</w:t>
                  </w:r>
                  <w:r>
                    <w:rPr>
                      <w:szCs w:val="21"/>
                    </w:rPr>
                    <w:t>的排气筒（</w:t>
                  </w:r>
                  <w:r>
                    <w:rPr>
                      <w:rFonts w:eastAsia="Times New Roman"/>
                      <w:szCs w:val="21"/>
                    </w:rPr>
                    <w:t>DA00</w:t>
                  </w:r>
                  <w:r>
                    <w:rPr>
                      <w:rFonts w:hint="eastAsia" w:eastAsiaTheme="minorEastAsia"/>
                      <w:szCs w:val="21"/>
                    </w:rPr>
                    <w:t>3</w:t>
                  </w:r>
                  <w:r>
                    <w:rPr>
                      <w:szCs w:val="21"/>
                    </w:rPr>
                    <w:t>）</w:t>
                  </w:r>
                  <w:r>
                    <w:rPr>
                      <w:rFonts w:hint="eastAsia"/>
                      <w:szCs w:val="21"/>
                    </w:rPr>
                    <w:t>（DA004）（DA005）</w:t>
                  </w:r>
                  <w:r>
                    <w:rPr>
                      <w:szCs w:val="21"/>
                    </w:rPr>
                    <w:t>排</w:t>
                  </w:r>
                  <w:r>
                    <w:rPr>
                      <w:spacing w:val="-10"/>
                      <w:szCs w:val="21"/>
                    </w:rPr>
                    <w:t>放。</w:t>
                  </w:r>
                </w:p>
              </w:tc>
            </w:tr>
            <w:tr w14:paraId="13790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53774466">
                  <w:pPr>
                    <w:snapToGrid w:val="0"/>
                    <w:jc w:val="center"/>
                    <w:rPr>
                      <w:szCs w:val="21"/>
                    </w:rPr>
                  </w:pPr>
                </w:p>
              </w:tc>
              <w:tc>
                <w:tcPr>
                  <w:tcW w:w="625" w:type="pct"/>
                  <w:vMerge w:val="continue"/>
                  <w:vAlign w:val="center"/>
                </w:tcPr>
                <w:p w14:paraId="5C7D3EF5">
                  <w:pPr>
                    <w:snapToGrid w:val="0"/>
                    <w:jc w:val="center"/>
                    <w:rPr>
                      <w:szCs w:val="21"/>
                    </w:rPr>
                  </w:pPr>
                </w:p>
              </w:tc>
              <w:tc>
                <w:tcPr>
                  <w:tcW w:w="1153" w:type="pct"/>
                  <w:gridSpan w:val="2"/>
                  <w:vAlign w:val="center"/>
                </w:tcPr>
                <w:p w14:paraId="73D2FAC8">
                  <w:pPr>
                    <w:snapToGrid w:val="0"/>
                    <w:jc w:val="center"/>
                    <w:textAlignment w:val="baseline"/>
                    <w:rPr>
                      <w:szCs w:val="21"/>
                    </w:rPr>
                  </w:pPr>
                  <w:r>
                    <w:rPr>
                      <w:rFonts w:hint="eastAsia"/>
                      <w:szCs w:val="21"/>
                    </w:rPr>
                    <w:t>车辆运输</w:t>
                  </w:r>
                </w:p>
              </w:tc>
              <w:tc>
                <w:tcPr>
                  <w:tcW w:w="2946" w:type="pct"/>
                  <w:vAlign w:val="center"/>
                </w:tcPr>
                <w:p w14:paraId="7FEBC888">
                  <w:pPr>
                    <w:snapToGrid w:val="0"/>
                    <w:jc w:val="center"/>
                    <w:textAlignment w:val="baseline"/>
                    <w:rPr>
                      <w:szCs w:val="21"/>
                    </w:rPr>
                  </w:pPr>
                  <w:r>
                    <w:rPr>
                      <w:rFonts w:hint="eastAsia"/>
                      <w:szCs w:val="21"/>
                    </w:rPr>
                    <w:t>地面硬化，设洗车平台，密闭运输，</w:t>
                  </w:r>
                  <w:r>
                    <w:rPr>
                      <w:szCs w:val="21"/>
                    </w:rPr>
                    <w:t>禁止超速行驶</w:t>
                  </w:r>
                  <w:r>
                    <w:rPr>
                      <w:rFonts w:hint="eastAsia"/>
                      <w:szCs w:val="21"/>
                    </w:rPr>
                    <w:t>。</w:t>
                  </w:r>
                </w:p>
              </w:tc>
            </w:tr>
            <w:tr w14:paraId="12162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26586D13">
                  <w:pPr>
                    <w:snapToGrid w:val="0"/>
                    <w:jc w:val="center"/>
                    <w:rPr>
                      <w:szCs w:val="21"/>
                      <w:highlight w:val="yellow"/>
                    </w:rPr>
                  </w:pPr>
                </w:p>
              </w:tc>
              <w:tc>
                <w:tcPr>
                  <w:tcW w:w="625" w:type="pct"/>
                  <w:vMerge w:val="restart"/>
                  <w:vAlign w:val="center"/>
                </w:tcPr>
                <w:p w14:paraId="107D571E">
                  <w:pPr>
                    <w:snapToGrid w:val="0"/>
                    <w:jc w:val="center"/>
                    <w:rPr>
                      <w:szCs w:val="21"/>
                    </w:rPr>
                  </w:pPr>
                  <w:r>
                    <w:rPr>
                      <w:szCs w:val="21"/>
                    </w:rPr>
                    <w:t>废水</w:t>
                  </w:r>
                </w:p>
              </w:tc>
              <w:tc>
                <w:tcPr>
                  <w:tcW w:w="1153" w:type="pct"/>
                  <w:gridSpan w:val="2"/>
                  <w:vAlign w:val="center"/>
                </w:tcPr>
                <w:p w14:paraId="78BFC5C1">
                  <w:pPr>
                    <w:snapToGrid w:val="0"/>
                    <w:jc w:val="center"/>
                    <w:rPr>
                      <w:szCs w:val="21"/>
                    </w:rPr>
                  </w:pPr>
                  <w:r>
                    <w:rPr>
                      <w:szCs w:val="21"/>
                    </w:rPr>
                    <w:t>生活污水</w:t>
                  </w:r>
                </w:p>
              </w:tc>
              <w:tc>
                <w:tcPr>
                  <w:tcW w:w="2946" w:type="pct"/>
                  <w:vAlign w:val="center"/>
                </w:tcPr>
                <w:p w14:paraId="701288C7">
                  <w:pPr>
                    <w:snapToGrid w:val="0"/>
                    <w:jc w:val="center"/>
                    <w:rPr>
                      <w:szCs w:val="21"/>
                    </w:rPr>
                  </w:pPr>
                  <w:r>
                    <w:rPr>
                      <w:rFonts w:hint="eastAsia"/>
                      <w:szCs w:val="21"/>
                    </w:rPr>
                    <w:t>西侧厂区设置旱厕，东侧厂区设置化粪池，生活污水排入化粪池，定期清掏用于农田。</w:t>
                  </w:r>
                </w:p>
              </w:tc>
            </w:tr>
            <w:tr w14:paraId="3D1C9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776207D1">
                  <w:pPr>
                    <w:snapToGrid w:val="0"/>
                    <w:jc w:val="center"/>
                    <w:rPr>
                      <w:szCs w:val="21"/>
                      <w:highlight w:val="yellow"/>
                    </w:rPr>
                  </w:pPr>
                </w:p>
              </w:tc>
              <w:tc>
                <w:tcPr>
                  <w:tcW w:w="625" w:type="pct"/>
                  <w:vMerge w:val="continue"/>
                  <w:vAlign w:val="center"/>
                </w:tcPr>
                <w:p w14:paraId="7C3692EA">
                  <w:pPr>
                    <w:snapToGrid w:val="0"/>
                    <w:jc w:val="center"/>
                    <w:rPr>
                      <w:szCs w:val="21"/>
                    </w:rPr>
                  </w:pPr>
                </w:p>
              </w:tc>
              <w:tc>
                <w:tcPr>
                  <w:tcW w:w="1153" w:type="pct"/>
                  <w:gridSpan w:val="2"/>
                  <w:vAlign w:val="center"/>
                </w:tcPr>
                <w:p w14:paraId="5EDF5652">
                  <w:pPr>
                    <w:adjustRightInd w:val="0"/>
                    <w:snapToGrid w:val="0"/>
                    <w:jc w:val="center"/>
                    <w:textAlignment w:val="baseline"/>
                    <w:rPr>
                      <w:szCs w:val="21"/>
                    </w:rPr>
                  </w:pPr>
                  <w:r>
                    <w:rPr>
                      <w:rFonts w:hint="eastAsia"/>
                      <w:szCs w:val="21"/>
                    </w:rPr>
                    <w:t>车辆清洗水</w:t>
                  </w:r>
                </w:p>
              </w:tc>
              <w:tc>
                <w:tcPr>
                  <w:tcW w:w="2946" w:type="pct"/>
                  <w:vAlign w:val="center"/>
                </w:tcPr>
                <w:p w14:paraId="38FF81A0">
                  <w:pPr>
                    <w:adjustRightInd w:val="0"/>
                    <w:snapToGrid w:val="0"/>
                    <w:jc w:val="center"/>
                    <w:textAlignment w:val="baseline"/>
                    <w:rPr>
                      <w:szCs w:val="21"/>
                    </w:rPr>
                  </w:pPr>
                  <w:r>
                    <w:t>设置洗车平台，洗车废水经沉淀处理后回用，不外排。</w:t>
                  </w:r>
                </w:p>
              </w:tc>
            </w:tr>
            <w:tr w14:paraId="0C5DA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0CFDB09A">
                  <w:pPr>
                    <w:snapToGrid w:val="0"/>
                    <w:jc w:val="center"/>
                    <w:rPr>
                      <w:szCs w:val="21"/>
                      <w:highlight w:val="yellow"/>
                    </w:rPr>
                  </w:pPr>
                </w:p>
              </w:tc>
              <w:tc>
                <w:tcPr>
                  <w:tcW w:w="625" w:type="pct"/>
                  <w:vMerge w:val="continue"/>
                  <w:vAlign w:val="center"/>
                </w:tcPr>
                <w:p w14:paraId="1D74EC0F">
                  <w:pPr>
                    <w:snapToGrid w:val="0"/>
                    <w:jc w:val="center"/>
                    <w:rPr>
                      <w:szCs w:val="21"/>
                    </w:rPr>
                  </w:pPr>
                </w:p>
              </w:tc>
              <w:tc>
                <w:tcPr>
                  <w:tcW w:w="1153" w:type="pct"/>
                  <w:gridSpan w:val="2"/>
                  <w:vAlign w:val="center"/>
                </w:tcPr>
                <w:p w14:paraId="140204B4">
                  <w:pPr>
                    <w:adjustRightInd w:val="0"/>
                    <w:snapToGrid w:val="0"/>
                    <w:jc w:val="center"/>
                    <w:textAlignment w:val="baseline"/>
                    <w:rPr>
                      <w:szCs w:val="21"/>
                    </w:rPr>
                  </w:pPr>
                  <w:r>
                    <w:rPr>
                      <w:szCs w:val="21"/>
                    </w:rPr>
                    <w:t>初期雨水</w:t>
                  </w:r>
                </w:p>
              </w:tc>
              <w:tc>
                <w:tcPr>
                  <w:tcW w:w="2946" w:type="pct"/>
                  <w:vAlign w:val="center"/>
                </w:tcPr>
                <w:p w14:paraId="2C7B2C42">
                  <w:pPr>
                    <w:adjustRightInd w:val="0"/>
                    <w:snapToGrid w:val="0"/>
                    <w:jc w:val="center"/>
                    <w:textAlignment w:val="baseline"/>
                    <w:rPr>
                      <w:szCs w:val="21"/>
                    </w:rPr>
                  </w:pPr>
                  <w:r>
                    <w:rPr>
                      <w:szCs w:val="21"/>
                    </w:rPr>
                    <w:t>新建初期雨水收集系统，</w:t>
                  </w:r>
                  <w:r>
                    <w:rPr>
                      <w:rFonts w:hint="eastAsia"/>
                      <w:szCs w:val="21"/>
                    </w:rPr>
                    <w:t>西侧厂区设一座</w:t>
                  </w:r>
                  <w:r>
                    <w:rPr>
                      <w:szCs w:val="21"/>
                    </w:rPr>
                    <w:t>初期雨水收集池</w:t>
                  </w:r>
                  <w:r>
                    <w:rPr>
                      <w:rFonts w:hint="eastAsia"/>
                      <w:szCs w:val="21"/>
                    </w:rPr>
                    <w:t>50</w:t>
                  </w:r>
                  <w:r>
                    <w:rPr>
                      <w:szCs w:val="21"/>
                    </w:rPr>
                    <w:t>m</w:t>
                  </w:r>
                  <w:r>
                    <w:rPr>
                      <w:szCs w:val="21"/>
                      <w:vertAlign w:val="superscript"/>
                    </w:rPr>
                    <w:t>3</w:t>
                  </w:r>
                  <w:r>
                    <w:rPr>
                      <w:rFonts w:hint="eastAsia"/>
                      <w:szCs w:val="21"/>
                    </w:rPr>
                    <w:t>，东侧厂区设一座初期雨水池40m</w:t>
                  </w:r>
                  <w:r>
                    <w:rPr>
                      <w:szCs w:val="21"/>
                      <w:vertAlign w:val="superscript"/>
                    </w:rPr>
                    <w:t>3</w:t>
                  </w:r>
                  <w:r>
                    <w:rPr>
                      <w:rFonts w:hint="eastAsia"/>
                      <w:szCs w:val="21"/>
                    </w:rPr>
                    <w:t>，雨水经沉淀后用于厂区洒水抑尘。</w:t>
                  </w:r>
                </w:p>
              </w:tc>
            </w:tr>
            <w:tr w14:paraId="1E35B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7F36208E">
                  <w:pPr>
                    <w:snapToGrid w:val="0"/>
                    <w:jc w:val="center"/>
                    <w:rPr>
                      <w:szCs w:val="21"/>
                      <w:highlight w:val="yellow"/>
                    </w:rPr>
                  </w:pPr>
                </w:p>
              </w:tc>
              <w:tc>
                <w:tcPr>
                  <w:tcW w:w="625" w:type="pct"/>
                  <w:vMerge w:val="restart"/>
                  <w:vAlign w:val="center"/>
                </w:tcPr>
                <w:p w14:paraId="556B0812">
                  <w:pPr>
                    <w:snapToGrid w:val="0"/>
                    <w:jc w:val="center"/>
                    <w:rPr>
                      <w:szCs w:val="21"/>
                    </w:rPr>
                  </w:pPr>
                  <w:r>
                    <w:rPr>
                      <w:szCs w:val="21"/>
                    </w:rPr>
                    <w:t>固废</w:t>
                  </w:r>
                </w:p>
              </w:tc>
              <w:tc>
                <w:tcPr>
                  <w:tcW w:w="1153" w:type="pct"/>
                  <w:gridSpan w:val="2"/>
                  <w:vAlign w:val="center"/>
                </w:tcPr>
                <w:p w14:paraId="45535607">
                  <w:pPr>
                    <w:snapToGrid w:val="0"/>
                    <w:jc w:val="center"/>
                    <w:textAlignment w:val="baseline"/>
                    <w:rPr>
                      <w:szCs w:val="21"/>
                    </w:rPr>
                  </w:pPr>
                  <w:r>
                    <w:rPr>
                      <w:szCs w:val="21"/>
                    </w:rPr>
                    <w:t>生活垃圾</w:t>
                  </w:r>
                </w:p>
              </w:tc>
              <w:tc>
                <w:tcPr>
                  <w:tcW w:w="2946" w:type="pct"/>
                  <w:vAlign w:val="center"/>
                </w:tcPr>
                <w:p w14:paraId="2918244F">
                  <w:pPr>
                    <w:snapToGrid w:val="0"/>
                    <w:textAlignment w:val="baseline"/>
                    <w:rPr>
                      <w:szCs w:val="21"/>
                    </w:rPr>
                  </w:pPr>
                  <w:r>
                    <w:rPr>
                      <w:szCs w:val="21"/>
                    </w:rPr>
                    <w:t>厂内设垃圾桶</w:t>
                  </w:r>
                  <w:r>
                    <w:rPr>
                      <w:rFonts w:hint="eastAsia"/>
                      <w:szCs w:val="21"/>
                    </w:rPr>
                    <w:t>，集中收集，定期交由方山县环卫部门集中处置。</w:t>
                  </w:r>
                </w:p>
              </w:tc>
            </w:tr>
            <w:tr w14:paraId="50937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0D7D0DEF">
                  <w:pPr>
                    <w:snapToGrid w:val="0"/>
                    <w:jc w:val="center"/>
                    <w:rPr>
                      <w:szCs w:val="21"/>
                      <w:highlight w:val="yellow"/>
                    </w:rPr>
                  </w:pPr>
                </w:p>
              </w:tc>
              <w:tc>
                <w:tcPr>
                  <w:tcW w:w="625" w:type="pct"/>
                  <w:vMerge w:val="continue"/>
                  <w:vAlign w:val="center"/>
                </w:tcPr>
                <w:p w14:paraId="6F02590F">
                  <w:pPr>
                    <w:snapToGrid w:val="0"/>
                    <w:jc w:val="center"/>
                    <w:rPr>
                      <w:szCs w:val="21"/>
                    </w:rPr>
                  </w:pPr>
                </w:p>
              </w:tc>
              <w:tc>
                <w:tcPr>
                  <w:tcW w:w="1153" w:type="pct"/>
                  <w:gridSpan w:val="2"/>
                  <w:vAlign w:val="center"/>
                </w:tcPr>
                <w:p w14:paraId="4A4C9956">
                  <w:pPr>
                    <w:snapToGrid w:val="0"/>
                    <w:jc w:val="center"/>
                    <w:textAlignment w:val="baseline"/>
                    <w:rPr>
                      <w:szCs w:val="21"/>
                      <w:highlight w:val="yellow"/>
                    </w:rPr>
                  </w:pPr>
                  <w:r>
                    <w:rPr>
                      <w:szCs w:val="21"/>
                    </w:rPr>
                    <w:t>除尘灰</w:t>
                  </w:r>
                </w:p>
              </w:tc>
              <w:tc>
                <w:tcPr>
                  <w:tcW w:w="2946" w:type="pct"/>
                  <w:vAlign w:val="center"/>
                </w:tcPr>
                <w:p w14:paraId="77A358D2">
                  <w:pPr>
                    <w:snapToGrid w:val="0"/>
                    <w:jc w:val="center"/>
                    <w:textAlignment w:val="baseline"/>
                    <w:rPr>
                      <w:szCs w:val="21"/>
                    </w:rPr>
                  </w:pPr>
                  <w:r>
                    <w:rPr>
                      <w:rFonts w:hint="eastAsia"/>
                    </w:rPr>
                    <w:t>砂库出料除尘器</w:t>
                  </w:r>
                  <w:r>
                    <w:t>除尘灰返回砂仓作为原料回用，主楼除尘器除尘灰返回搅拌机作为原料回用，包装机除尘器除尘灰返回装袋仓，主楼散装除尘器和成品仓散装除尘器除尘灰返回装袋仓，成品仓顶除尘器除尘灰返回成品仓，粉仓除尘器除尘灰返回粉仓作为原料回用。</w:t>
                  </w:r>
                </w:p>
              </w:tc>
            </w:tr>
            <w:tr w14:paraId="33ABA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4415BA86">
                  <w:pPr>
                    <w:snapToGrid w:val="0"/>
                    <w:jc w:val="center"/>
                    <w:rPr>
                      <w:szCs w:val="21"/>
                      <w:highlight w:val="yellow"/>
                    </w:rPr>
                  </w:pPr>
                </w:p>
              </w:tc>
              <w:tc>
                <w:tcPr>
                  <w:tcW w:w="625" w:type="pct"/>
                  <w:vMerge w:val="continue"/>
                  <w:vAlign w:val="center"/>
                </w:tcPr>
                <w:p w14:paraId="5EF42A10">
                  <w:pPr>
                    <w:snapToGrid w:val="0"/>
                    <w:jc w:val="center"/>
                    <w:rPr>
                      <w:szCs w:val="21"/>
                    </w:rPr>
                  </w:pPr>
                </w:p>
              </w:tc>
              <w:tc>
                <w:tcPr>
                  <w:tcW w:w="1153" w:type="pct"/>
                  <w:gridSpan w:val="2"/>
                  <w:vAlign w:val="center"/>
                </w:tcPr>
                <w:p w14:paraId="1C5C7C0E">
                  <w:pPr>
                    <w:snapToGrid w:val="0"/>
                    <w:jc w:val="center"/>
                    <w:textAlignment w:val="baseline"/>
                    <w:rPr>
                      <w:szCs w:val="21"/>
                    </w:rPr>
                  </w:pPr>
                  <w:r>
                    <w:rPr>
                      <w:rFonts w:hint="eastAsia"/>
                      <w:szCs w:val="21"/>
                    </w:rPr>
                    <w:t>废除尘布袋</w:t>
                  </w:r>
                </w:p>
              </w:tc>
              <w:tc>
                <w:tcPr>
                  <w:tcW w:w="2946" w:type="pct"/>
                  <w:vAlign w:val="center"/>
                </w:tcPr>
                <w:p w14:paraId="230FE407">
                  <w:pPr>
                    <w:snapToGrid w:val="0"/>
                    <w:jc w:val="center"/>
                    <w:textAlignment w:val="baseline"/>
                    <w:rPr>
                      <w:szCs w:val="21"/>
                    </w:rPr>
                  </w:pPr>
                  <w:r>
                    <w:rPr>
                      <w:rFonts w:hint="eastAsia"/>
                      <w:szCs w:val="21"/>
                    </w:rPr>
                    <w:t>由除尘器厂家回收</w:t>
                  </w:r>
                </w:p>
              </w:tc>
            </w:tr>
            <w:tr w14:paraId="4A8B0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5BAD2F35">
                  <w:pPr>
                    <w:snapToGrid w:val="0"/>
                    <w:jc w:val="center"/>
                    <w:rPr>
                      <w:szCs w:val="21"/>
                      <w:highlight w:val="yellow"/>
                    </w:rPr>
                  </w:pPr>
                </w:p>
              </w:tc>
              <w:tc>
                <w:tcPr>
                  <w:tcW w:w="625" w:type="pct"/>
                  <w:vMerge w:val="continue"/>
                  <w:vAlign w:val="center"/>
                </w:tcPr>
                <w:p w14:paraId="58DB7E02">
                  <w:pPr>
                    <w:snapToGrid w:val="0"/>
                    <w:jc w:val="center"/>
                    <w:rPr>
                      <w:szCs w:val="21"/>
                    </w:rPr>
                  </w:pPr>
                </w:p>
              </w:tc>
              <w:tc>
                <w:tcPr>
                  <w:tcW w:w="1153" w:type="pct"/>
                  <w:gridSpan w:val="2"/>
                  <w:vAlign w:val="center"/>
                </w:tcPr>
                <w:p w14:paraId="7086C3B7">
                  <w:pPr>
                    <w:snapToGrid w:val="0"/>
                    <w:jc w:val="center"/>
                    <w:textAlignment w:val="baseline"/>
                    <w:rPr>
                      <w:szCs w:val="21"/>
                    </w:rPr>
                  </w:pPr>
                  <w:r>
                    <w:rPr>
                      <w:rFonts w:hint="eastAsia"/>
                      <w:szCs w:val="21"/>
                    </w:rPr>
                    <w:t>废机油</w:t>
                  </w:r>
                </w:p>
              </w:tc>
              <w:tc>
                <w:tcPr>
                  <w:tcW w:w="2946" w:type="pct"/>
                  <w:vMerge w:val="restart"/>
                  <w:vAlign w:val="center"/>
                </w:tcPr>
                <w:p w14:paraId="7D0F2F00">
                  <w:pPr>
                    <w:snapToGrid w:val="0"/>
                    <w:jc w:val="center"/>
                    <w:textAlignment w:val="baseline"/>
                    <w:rPr>
                      <w:szCs w:val="21"/>
                    </w:rPr>
                  </w:pPr>
                  <w:r>
                    <w:rPr>
                      <w:szCs w:val="21"/>
                    </w:rPr>
                    <w:t>20</w:t>
                  </w:r>
                  <w:r>
                    <w:rPr>
                      <w:rFonts w:hint="eastAsia"/>
                      <w:szCs w:val="21"/>
                    </w:rPr>
                    <w:t>m</w:t>
                  </w:r>
                  <w:r>
                    <w:rPr>
                      <w:rFonts w:hint="eastAsia"/>
                      <w:szCs w:val="21"/>
                      <w:vertAlign w:val="superscript"/>
                    </w:rPr>
                    <w:t>2</w:t>
                  </w:r>
                  <w:r>
                    <w:rPr>
                      <w:rFonts w:hint="eastAsia"/>
                      <w:szCs w:val="21"/>
                    </w:rPr>
                    <w:t>危险废</w:t>
                  </w:r>
                  <w:r>
                    <w:rPr>
                      <w:rFonts w:hint="eastAsia"/>
                      <w:color w:val="000000"/>
                      <w:szCs w:val="21"/>
                    </w:rPr>
                    <w:t>贮存库</w:t>
                  </w:r>
                  <w:r>
                    <w:rPr>
                      <w:rFonts w:hint="eastAsia"/>
                      <w:szCs w:val="21"/>
                    </w:rPr>
                    <w:t>暂存，委托有资质单位定期处置。</w:t>
                  </w:r>
                </w:p>
              </w:tc>
            </w:tr>
            <w:tr w14:paraId="03E1C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52729A66">
                  <w:pPr>
                    <w:snapToGrid w:val="0"/>
                    <w:jc w:val="center"/>
                    <w:rPr>
                      <w:szCs w:val="21"/>
                      <w:highlight w:val="yellow"/>
                    </w:rPr>
                  </w:pPr>
                </w:p>
              </w:tc>
              <w:tc>
                <w:tcPr>
                  <w:tcW w:w="625" w:type="pct"/>
                  <w:vMerge w:val="continue"/>
                  <w:vAlign w:val="center"/>
                </w:tcPr>
                <w:p w14:paraId="6FD1C64B">
                  <w:pPr>
                    <w:snapToGrid w:val="0"/>
                    <w:jc w:val="center"/>
                    <w:rPr>
                      <w:szCs w:val="21"/>
                    </w:rPr>
                  </w:pPr>
                </w:p>
              </w:tc>
              <w:tc>
                <w:tcPr>
                  <w:tcW w:w="1153" w:type="pct"/>
                  <w:gridSpan w:val="2"/>
                  <w:vAlign w:val="center"/>
                </w:tcPr>
                <w:p w14:paraId="5F9081D1">
                  <w:pPr>
                    <w:snapToGrid w:val="0"/>
                    <w:jc w:val="center"/>
                    <w:textAlignment w:val="baseline"/>
                    <w:rPr>
                      <w:szCs w:val="21"/>
                    </w:rPr>
                  </w:pPr>
                  <w:r>
                    <w:rPr>
                      <w:rFonts w:hint="eastAsia"/>
                      <w:szCs w:val="21"/>
                    </w:rPr>
                    <w:t>废油桶</w:t>
                  </w:r>
                </w:p>
              </w:tc>
              <w:tc>
                <w:tcPr>
                  <w:tcW w:w="2946" w:type="pct"/>
                  <w:vMerge w:val="continue"/>
                  <w:vAlign w:val="center"/>
                </w:tcPr>
                <w:p w14:paraId="45D12769">
                  <w:pPr>
                    <w:snapToGrid w:val="0"/>
                    <w:jc w:val="center"/>
                    <w:textAlignment w:val="baseline"/>
                    <w:rPr>
                      <w:szCs w:val="21"/>
                    </w:rPr>
                  </w:pPr>
                </w:p>
              </w:tc>
            </w:tr>
            <w:tr w14:paraId="36572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0728500D">
                  <w:pPr>
                    <w:snapToGrid w:val="0"/>
                    <w:jc w:val="center"/>
                    <w:rPr>
                      <w:szCs w:val="21"/>
                      <w:highlight w:val="yellow"/>
                    </w:rPr>
                  </w:pPr>
                </w:p>
              </w:tc>
              <w:tc>
                <w:tcPr>
                  <w:tcW w:w="625" w:type="pct"/>
                  <w:vMerge w:val="continue"/>
                  <w:vAlign w:val="center"/>
                </w:tcPr>
                <w:p w14:paraId="71068869">
                  <w:pPr>
                    <w:snapToGrid w:val="0"/>
                    <w:jc w:val="center"/>
                    <w:rPr>
                      <w:szCs w:val="21"/>
                    </w:rPr>
                  </w:pPr>
                </w:p>
              </w:tc>
              <w:tc>
                <w:tcPr>
                  <w:tcW w:w="1153" w:type="pct"/>
                  <w:gridSpan w:val="2"/>
                  <w:vAlign w:val="center"/>
                </w:tcPr>
                <w:p w14:paraId="2BFB68A2">
                  <w:pPr>
                    <w:snapToGrid w:val="0"/>
                    <w:jc w:val="center"/>
                    <w:textAlignment w:val="baseline"/>
                    <w:rPr>
                      <w:szCs w:val="21"/>
                    </w:rPr>
                  </w:pPr>
                  <w:r>
                    <w:rPr>
                      <w:rFonts w:hint="eastAsia"/>
                      <w:szCs w:val="21"/>
                    </w:rPr>
                    <w:t>含油棉纱、手套等</w:t>
                  </w:r>
                </w:p>
              </w:tc>
              <w:tc>
                <w:tcPr>
                  <w:tcW w:w="2946" w:type="pct"/>
                  <w:vMerge w:val="continue"/>
                  <w:vAlign w:val="center"/>
                </w:tcPr>
                <w:p w14:paraId="66E9E731">
                  <w:pPr>
                    <w:snapToGrid w:val="0"/>
                    <w:jc w:val="center"/>
                    <w:textAlignment w:val="baseline"/>
                    <w:rPr>
                      <w:szCs w:val="21"/>
                    </w:rPr>
                  </w:pPr>
                </w:p>
              </w:tc>
            </w:tr>
            <w:tr w14:paraId="18108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47D5A708">
                  <w:pPr>
                    <w:snapToGrid w:val="0"/>
                    <w:jc w:val="center"/>
                    <w:rPr>
                      <w:szCs w:val="21"/>
                      <w:highlight w:val="yellow"/>
                    </w:rPr>
                  </w:pPr>
                </w:p>
              </w:tc>
              <w:tc>
                <w:tcPr>
                  <w:tcW w:w="625" w:type="pct"/>
                  <w:vMerge w:val="restart"/>
                  <w:vAlign w:val="center"/>
                </w:tcPr>
                <w:p w14:paraId="3CA790E6">
                  <w:pPr>
                    <w:adjustRightInd w:val="0"/>
                    <w:snapToGrid w:val="0"/>
                    <w:jc w:val="center"/>
                    <w:textAlignment w:val="baseline"/>
                    <w:rPr>
                      <w:szCs w:val="21"/>
                    </w:rPr>
                  </w:pPr>
                  <w:r>
                    <w:rPr>
                      <w:szCs w:val="21"/>
                    </w:rPr>
                    <w:t>噪声</w:t>
                  </w:r>
                </w:p>
              </w:tc>
              <w:tc>
                <w:tcPr>
                  <w:tcW w:w="1153" w:type="pct"/>
                  <w:gridSpan w:val="2"/>
                  <w:vAlign w:val="center"/>
                </w:tcPr>
                <w:p w14:paraId="43F9AAD2">
                  <w:pPr>
                    <w:snapToGrid w:val="0"/>
                    <w:jc w:val="center"/>
                    <w:rPr>
                      <w:szCs w:val="21"/>
                    </w:rPr>
                  </w:pPr>
                  <w:r>
                    <w:rPr>
                      <w:szCs w:val="21"/>
                    </w:rPr>
                    <w:t>主要生产设备</w:t>
                  </w:r>
                </w:p>
              </w:tc>
              <w:tc>
                <w:tcPr>
                  <w:tcW w:w="2946" w:type="pct"/>
                  <w:vAlign w:val="center"/>
                </w:tcPr>
                <w:p w14:paraId="5C1B22BD">
                  <w:pPr>
                    <w:adjustRightInd w:val="0"/>
                    <w:snapToGrid w:val="0"/>
                    <w:jc w:val="center"/>
                    <w:textAlignment w:val="baseline"/>
                    <w:rPr>
                      <w:szCs w:val="21"/>
                    </w:rPr>
                  </w:pPr>
                  <w:r>
                    <w:rPr>
                      <w:szCs w:val="21"/>
                    </w:rPr>
                    <w:t>选用低噪声设备，隔声、基础减振，定期维护</w:t>
                  </w:r>
                </w:p>
              </w:tc>
            </w:tr>
            <w:tr w14:paraId="2CCBE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4E356076">
                  <w:pPr>
                    <w:snapToGrid w:val="0"/>
                    <w:jc w:val="center"/>
                    <w:rPr>
                      <w:szCs w:val="21"/>
                      <w:highlight w:val="yellow"/>
                    </w:rPr>
                  </w:pPr>
                </w:p>
              </w:tc>
              <w:tc>
                <w:tcPr>
                  <w:tcW w:w="625" w:type="pct"/>
                  <w:vMerge w:val="continue"/>
                  <w:vAlign w:val="center"/>
                </w:tcPr>
                <w:p w14:paraId="47D59CB6">
                  <w:pPr>
                    <w:adjustRightInd w:val="0"/>
                    <w:snapToGrid w:val="0"/>
                    <w:jc w:val="center"/>
                    <w:textAlignment w:val="baseline"/>
                    <w:rPr>
                      <w:szCs w:val="21"/>
                    </w:rPr>
                  </w:pPr>
                </w:p>
              </w:tc>
              <w:tc>
                <w:tcPr>
                  <w:tcW w:w="1153" w:type="pct"/>
                  <w:gridSpan w:val="2"/>
                  <w:vAlign w:val="center"/>
                </w:tcPr>
                <w:p w14:paraId="70AD1197">
                  <w:pPr>
                    <w:snapToGrid w:val="0"/>
                    <w:jc w:val="center"/>
                    <w:rPr>
                      <w:szCs w:val="21"/>
                    </w:rPr>
                  </w:pPr>
                  <w:r>
                    <w:rPr>
                      <w:rFonts w:hint="eastAsia"/>
                      <w:szCs w:val="21"/>
                    </w:rPr>
                    <w:t>运输车辆</w:t>
                  </w:r>
                </w:p>
              </w:tc>
              <w:tc>
                <w:tcPr>
                  <w:tcW w:w="2946" w:type="pct"/>
                  <w:vAlign w:val="center"/>
                </w:tcPr>
                <w:p w14:paraId="3A88CA76">
                  <w:pPr>
                    <w:adjustRightInd w:val="0"/>
                    <w:snapToGrid w:val="0"/>
                    <w:jc w:val="center"/>
                    <w:textAlignment w:val="baseline"/>
                    <w:rPr>
                      <w:szCs w:val="21"/>
                    </w:rPr>
                  </w:pPr>
                  <w:r>
                    <w:rPr>
                      <w:rFonts w:hint="eastAsia"/>
                      <w:szCs w:val="21"/>
                    </w:rPr>
                    <w:t>合理安排时间，车辆限超限速，禁止鸣笛。</w:t>
                  </w:r>
                </w:p>
              </w:tc>
            </w:tr>
            <w:tr w14:paraId="40E89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6" w:type="pct"/>
                  <w:vMerge w:val="continue"/>
                  <w:vAlign w:val="center"/>
                </w:tcPr>
                <w:p w14:paraId="265F6EC6">
                  <w:pPr>
                    <w:snapToGrid w:val="0"/>
                    <w:jc w:val="center"/>
                    <w:rPr>
                      <w:szCs w:val="21"/>
                      <w:highlight w:val="yellow"/>
                    </w:rPr>
                  </w:pPr>
                </w:p>
              </w:tc>
              <w:tc>
                <w:tcPr>
                  <w:tcW w:w="625" w:type="pct"/>
                  <w:vAlign w:val="center"/>
                </w:tcPr>
                <w:p w14:paraId="48CD6681">
                  <w:pPr>
                    <w:snapToGrid w:val="0"/>
                    <w:jc w:val="center"/>
                    <w:rPr>
                      <w:szCs w:val="21"/>
                    </w:rPr>
                  </w:pPr>
                  <w:r>
                    <w:rPr>
                      <w:szCs w:val="21"/>
                    </w:rPr>
                    <w:t>生态</w:t>
                  </w:r>
                </w:p>
              </w:tc>
              <w:tc>
                <w:tcPr>
                  <w:tcW w:w="1153" w:type="pct"/>
                  <w:gridSpan w:val="2"/>
                  <w:vAlign w:val="center"/>
                </w:tcPr>
                <w:p w14:paraId="6B70806F">
                  <w:pPr>
                    <w:snapToGrid w:val="0"/>
                    <w:jc w:val="center"/>
                    <w:rPr>
                      <w:szCs w:val="21"/>
                    </w:rPr>
                  </w:pPr>
                  <w:r>
                    <w:rPr>
                      <w:szCs w:val="21"/>
                    </w:rPr>
                    <w:t>绿化</w:t>
                  </w:r>
                  <w:r>
                    <w:rPr>
                      <w:rFonts w:hint="eastAsia"/>
                      <w:szCs w:val="21"/>
                    </w:rPr>
                    <w:t>和硬化</w:t>
                  </w:r>
                </w:p>
              </w:tc>
              <w:tc>
                <w:tcPr>
                  <w:tcW w:w="2946" w:type="pct"/>
                  <w:vAlign w:val="center"/>
                </w:tcPr>
                <w:p w14:paraId="55FC08C0">
                  <w:pPr>
                    <w:snapToGrid w:val="0"/>
                    <w:jc w:val="center"/>
                    <w:rPr>
                      <w:szCs w:val="21"/>
                    </w:rPr>
                  </w:pPr>
                  <w:r>
                    <w:rPr>
                      <w:szCs w:val="21"/>
                    </w:rPr>
                    <w:t>绿化面积</w:t>
                  </w:r>
                  <w:r>
                    <w:rPr>
                      <w:rFonts w:hint="eastAsia"/>
                      <w:szCs w:val="21"/>
                    </w:rPr>
                    <w:t>600</w:t>
                  </w:r>
                  <w:r>
                    <w:rPr>
                      <w:szCs w:val="21"/>
                    </w:rPr>
                    <w:t>m</w:t>
                  </w:r>
                  <w:r>
                    <w:rPr>
                      <w:szCs w:val="21"/>
                      <w:vertAlign w:val="superscript"/>
                    </w:rPr>
                    <w:t>2</w:t>
                  </w:r>
                  <w:r>
                    <w:rPr>
                      <w:rFonts w:hint="eastAsia"/>
                      <w:szCs w:val="21"/>
                    </w:rPr>
                    <w:t>，其余裸露地面全部硬化。</w:t>
                  </w:r>
                </w:p>
              </w:tc>
            </w:tr>
            <w:bookmarkEnd w:id="4"/>
          </w:tbl>
          <w:p w14:paraId="3566E95A">
            <w:pPr>
              <w:adjustRightInd w:val="0"/>
              <w:snapToGrid w:val="0"/>
              <w:spacing w:line="360" w:lineRule="auto"/>
              <w:rPr>
                <w:b/>
                <w:bCs/>
                <w:color w:val="000000"/>
                <w:sz w:val="24"/>
              </w:rPr>
            </w:pPr>
            <w:r>
              <w:rPr>
                <w:b/>
                <w:bCs/>
                <w:sz w:val="24"/>
              </w:rPr>
              <w:t>2.2 主要原辅材料</w:t>
            </w:r>
          </w:p>
          <w:p w14:paraId="48130460">
            <w:pPr>
              <w:spacing w:line="360" w:lineRule="auto"/>
              <w:ind w:firstLine="480" w:firstLineChars="200"/>
              <w:rPr>
                <w:bCs/>
                <w:sz w:val="24"/>
              </w:rPr>
            </w:pPr>
            <w:r>
              <w:rPr>
                <w:rFonts w:hint="eastAsia"/>
                <w:bCs/>
                <w:color w:val="000000"/>
                <w:sz w:val="24"/>
              </w:rPr>
              <w:t>本项目主要原辅材料为砂子、水泥、粉煤灰、外加剂等。干粉砂浆添加剂主要有可再分散乳胶粉、保水增稠剂、减水剂、调凝剂、</w:t>
            </w:r>
            <w:r>
              <w:rPr>
                <w:rFonts w:hint="eastAsia"/>
                <w:bCs/>
                <w:sz w:val="24"/>
              </w:rPr>
              <w:t>防水剂、纤维、消泡剂等，可单独使用，也可多重成分混合制成专用产品使用。本项目选用的砂浆外加剂为纤维素醚和引气剂，直接购买成品，塑料编织袋包装。</w:t>
            </w:r>
          </w:p>
          <w:p w14:paraId="1C9BB92F">
            <w:pPr>
              <w:spacing w:line="360" w:lineRule="auto"/>
              <w:ind w:firstLine="480" w:firstLineChars="200"/>
              <w:rPr>
                <w:bCs/>
                <w:color w:val="000000"/>
                <w:sz w:val="24"/>
              </w:rPr>
            </w:pPr>
            <w:r>
              <w:rPr>
                <w:bCs/>
                <w:color w:val="000000"/>
                <w:sz w:val="24"/>
              </w:rPr>
              <w:t>本项目原辅材料外购。主要原辅材料消耗见表2-2。</w:t>
            </w:r>
          </w:p>
          <w:p w14:paraId="1D1BFF8A">
            <w:pPr>
              <w:spacing w:line="360" w:lineRule="auto"/>
              <w:ind w:firstLine="480" w:firstLineChars="200"/>
              <w:rPr>
                <w:bCs/>
                <w:sz w:val="24"/>
              </w:rPr>
            </w:pPr>
            <w:r>
              <w:rPr>
                <w:rFonts w:hint="eastAsia"/>
                <w:bCs/>
                <w:sz w:val="24"/>
              </w:rPr>
              <w:t>本项目砂子原料库占地面积</w:t>
            </w:r>
            <w:r>
              <w:rPr>
                <w:bCs/>
                <w:sz w:val="24"/>
              </w:rPr>
              <w:t>750m</w:t>
            </w:r>
            <w:r>
              <w:rPr>
                <w:bCs/>
                <w:sz w:val="24"/>
                <w:vertAlign w:val="superscript"/>
              </w:rPr>
              <w:t>2</w:t>
            </w:r>
            <w:r>
              <w:rPr>
                <w:rFonts w:hint="eastAsia"/>
                <w:bCs/>
                <w:sz w:val="24"/>
              </w:rPr>
              <w:t>，全封闭彩钢结构，基础采用混凝土框架，设计砂子储存量大约</w:t>
            </w:r>
            <w:r>
              <w:rPr>
                <w:bCs/>
                <w:sz w:val="24"/>
              </w:rPr>
              <w:t>2000t</w:t>
            </w:r>
            <w:r>
              <w:rPr>
                <w:rFonts w:hint="eastAsia"/>
                <w:bCs/>
                <w:sz w:val="24"/>
              </w:rPr>
              <w:t>，月库存周转率为</w:t>
            </w:r>
            <w:r>
              <w:rPr>
                <w:bCs/>
                <w:sz w:val="24"/>
              </w:rPr>
              <w:t>6.6</w:t>
            </w:r>
            <w:r>
              <w:rPr>
                <w:rFonts w:hint="eastAsia"/>
                <w:bCs/>
                <w:sz w:val="24"/>
              </w:rPr>
              <w:t>。</w:t>
            </w:r>
          </w:p>
          <w:p w14:paraId="56272534">
            <w:pPr>
              <w:spacing w:line="360" w:lineRule="auto"/>
              <w:ind w:firstLine="480" w:firstLineChars="200"/>
              <w:rPr>
                <w:bCs/>
                <w:sz w:val="24"/>
              </w:rPr>
            </w:pPr>
            <w:r>
              <w:rPr>
                <w:rFonts w:hint="eastAsia"/>
                <w:bCs/>
                <w:sz w:val="24"/>
              </w:rPr>
              <w:t>水泥、粉煤灰采用全封闭罐车运输，进场后粉料是通过粉罐车经进料管打入筒仓中存储，水泥筒仓（</w:t>
            </w:r>
            <w:r>
              <w:rPr>
                <w:bCs/>
                <w:sz w:val="24"/>
              </w:rPr>
              <w:t>2</w:t>
            </w:r>
            <w:r>
              <w:rPr>
                <w:rFonts w:hint="eastAsia"/>
                <w:bCs/>
                <w:sz w:val="24"/>
              </w:rPr>
              <w:t>个）和粉煤灰筒（</w:t>
            </w:r>
            <w:r>
              <w:rPr>
                <w:bCs/>
                <w:sz w:val="24"/>
              </w:rPr>
              <w:t>1</w:t>
            </w:r>
            <w:r>
              <w:rPr>
                <w:rFonts w:hint="eastAsia"/>
                <w:bCs/>
                <w:sz w:val="24"/>
              </w:rPr>
              <w:t>个）仓均为圆形钢结构筒仓，直径</w:t>
            </w:r>
            <w:r>
              <w:rPr>
                <w:bCs/>
                <w:sz w:val="24"/>
              </w:rPr>
              <w:t>4m</w:t>
            </w:r>
            <w:r>
              <w:rPr>
                <w:rFonts w:hint="eastAsia"/>
                <w:bCs/>
                <w:sz w:val="24"/>
              </w:rPr>
              <w:t>，单座容量</w:t>
            </w:r>
            <w:r>
              <w:rPr>
                <w:bCs/>
                <w:sz w:val="24"/>
              </w:rPr>
              <w:t>150t</w:t>
            </w:r>
            <w:r>
              <w:rPr>
                <w:rFonts w:hint="eastAsia"/>
                <w:bCs/>
                <w:sz w:val="24"/>
              </w:rPr>
              <w:t>。水泥筒仓月库存周转率为</w:t>
            </w:r>
            <w:r>
              <w:rPr>
                <w:bCs/>
                <w:sz w:val="24"/>
              </w:rPr>
              <w:t>7.2</w:t>
            </w:r>
            <w:r>
              <w:rPr>
                <w:rFonts w:hint="eastAsia"/>
                <w:bCs/>
                <w:sz w:val="24"/>
              </w:rPr>
              <w:t>，粉煤灰筒仓月库存周转率为</w:t>
            </w:r>
            <w:r>
              <w:rPr>
                <w:bCs/>
                <w:sz w:val="24"/>
              </w:rPr>
              <w:t>9.1</w:t>
            </w:r>
            <w:r>
              <w:rPr>
                <w:rFonts w:hint="eastAsia"/>
                <w:bCs/>
                <w:sz w:val="24"/>
              </w:rPr>
              <w:t>。外加剂在砂库西北角储存，外加剂库房占地面积50m</w:t>
            </w:r>
            <w:r>
              <w:rPr>
                <w:bCs/>
                <w:sz w:val="24"/>
                <w:vertAlign w:val="superscript"/>
              </w:rPr>
              <w:t>2</w:t>
            </w:r>
            <w:r>
              <w:rPr>
                <w:rFonts w:hint="eastAsia"/>
                <w:bCs/>
                <w:sz w:val="24"/>
              </w:rPr>
              <w:t>，设计外加剂储存量大约2吨，月库存周转率为2。</w:t>
            </w:r>
          </w:p>
          <w:p w14:paraId="26E845CC">
            <w:pPr>
              <w:spacing w:line="360" w:lineRule="auto"/>
              <w:jc w:val="center"/>
              <w:rPr>
                <w:b/>
                <w:kern w:val="0"/>
                <w:szCs w:val="21"/>
              </w:rPr>
            </w:pPr>
            <w:bookmarkStart w:id="5" w:name="_Hlk173942133"/>
            <w:r>
              <w:rPr>
                <w:b/>
                <w:kern w:val="0"/>
                <w:szCs w:val="21"/>
              </w:rPr>
              <w:t>表2-2 项目主要原辅材料消耗表</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70"/>
              <w:gridCol w:w="1224"/>
              <w:gridCol w:w="1070"/>
              <w:gridCol w:w="1376"/>
              <w:gridCol w:w="1376"/>
              <w:gridCol w:w="1303"/>
            </w:tblGrid>
            <w:tr w14:paraId="1F855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Align w:val="center"/>
                </w:tcPr>
                <w:p w14:paraId="37CA7ADA">
                  <w:pPr>
                    <w:widowControl/>
                    <w:jc w:val="center"/>
                    <w:rPr>
                      <w:color w:val="000000"/>
                      <w:kern w:val="0"/>
                      <w:szCs w:val="21"/>
                    </w:rPr>
                  </w:pPr>
                  <w:bookmarkStart w:id="6" w:name="_Hlk89071928"/>
                  <w:r>
                    <w:rPr>
                      <w:color w:val="000000"/>
                      <w:kern w:val="0"/>
                      <w:szCs w:val="21"/>
                    </w:rPr>
                    <w:t>序号</w:t>
                  </w:r>
                </w:p>
              </w:tc>
              <w:tc>
                <w:tcPr>
                  <w:tcW w:w="664" w:type="pct"/>
                  <w:vAlign w:val="center"/>
                </w:tcPr>
                <w:p w14:paraId="6DD7CB91">
                  <w:pPr>
                    <w:widowControl/>
                    <w:jc w:val="center"/>
                    <w:rPr>
                      <w:color w:val="000000"/>
                      <w:kern w:val="0"/>
                      <w:szCs w:val="21"/>
                    </w:rPr>
                  </w:pPr>
                  <w:r>
                    <w:rPr>
                      <w:color w:val="000000"/>
                      <w:kern w:val="0"/>
                      <w:szCs w:val="21"/>
                    </w:rPr>
                    <w:t>名称</w:t>
                  </w:r>
                </w:p>
              </w:tc>
              <w:tc>
                <w:tcPr>
                  <w:tcW w:w="760" w:type="pct"/>
                  <w:vAlign w:val="center"/>
                </w:tcPr>
                <w:p w14:paraId="0AA979BB">
                  <w:pPr>
                    <w:widowControl/>
                    <w:jc w:val="center"/>
                    <w:rPr>
                      <w:color w:val="000000"/>
                      <w:kern w:val="0"/>
                      <w:szCs w:val="21"/>
                    </w:rPr>
                  </w:pPr>
                  <w:r>
                    <w:rPr>
                      <w:color w:val="000000"/>
                      <w:kern w:val="0"/>
                      <w:szCs w:val="21"/>
                    </w:rPr>
                    <w:t>单位</w:t>
                  </w:r>
                </w:p>
              </w:tc>
              <w:tc>
                <w:tcPr>
                  <w:tcW w:w="664" w:type="pct"/>
                  <w:vAlign w:val="center"/>
                </w:tcPr>
                <w:p w14:paraId="22AFBEBF">
                  <w:pPr>
                    <w:widowControl/>
                    <w:jc w:val="center"/>
                    <w:rPr>
                      <w:color w:val="000000"/>
                      <w:kern w:val="0"/>
                      <w:szCs w:val="21"/>
                    </w:rPr>
                  </w:pPr>
                  <w:r>
                    <w:rPr>
                      <w:color w:val="000000"/>
                      <w:kern w:val="0"/>
                      <w:szCs w:val="21"/>
                    </w:rPr>
                    <w:t>消耗量</w:t>
                  </w:r>
                </w:p>
              </w:tc>
              <w:tc>
                <w:tcPr>
                  <w:tcW w:w="854" w:type="pct"/>
                  <w:vAlign w:val="center"/>
                </w:tcPr>
                <w:p w14:paraId="4B35679F">
                  <w:pPr>
                    <w:widowControl/>
                    <w:jc w:val="center"/>
                    <w:rPr>
                      <w:color w:val="000000"/>
                      <w:kern w:val="0"/>
                      <w:szCs w:val="21"/>
                    </w:rPr>
                  </w:pPr>
                  <w:r>
                    <w:rPr>
                      <w:color w:val="000000"/>
                      <w:kern w:val="0"/>
                      <w:szCs w:val="21"/>
                    </w:rPr>
                    <w:t>规格</w:t>
                  </w:r>
                </w:p>
              </w:tc>
              <w:tc>
                <w:tcPr>
                  <w:tcW w:w="854" w:type="pct"/>
                  <w:vAlign w:val="center"/>
                </w:tcPr>
                <w:p w14:paraId="5AD52E7A">
                  <w:pPr>
                    <w:widowControl/>
                    <w:jc w:val="center"/>
                    <w:rPr>
                      <w:color w:val="000000"/>
                      <w:kern w:val="0"/>
                      <w:szCs w:val="21"/>
                    </w:rPr>
                  </w:pPr>
                  <w:r>
                    <w:rPr>
                      <w:color w:val="000000"/>
                      <w:kern w:val="0"/>
                      <w:szCs w:val="21"/>
                    </w:rPr>
                    <w:t>运输方式</w:t>
                  </w:r>
                </w:p>
              </w:tc>
              <w:tc>
                <w:tcPr>
                  <w:tcW w:w="810" w:type="pct"/>
                  <w:vAlign w:val="center"/>
                </w:tcPr>
                <w:p w14:paraId="3F64F7DB">
                  <w:pPr>
                    <w:widowControl/>
                    <w:jc w:val="center"/>
                    <w:rPr>
                      <w:color w:val="000000"/>
                      <w:kern w:val="0"/>
                      <w:szCs w:val="21"/>
                    </w:rPr>
                  </w:pPr>
                  <w:r>
                    <w:rPr>
                      <w:color w:val="000000"/>
                      <w:kern w:val="0"/>
                      <w:szCs w:val="21"/>
                    </w:rPr>
                    <w:t>储存方式</w:t>
                  </w:r>
                </w:p>
              </w:tc>
            </w:tr>
            <w:tr w14:paraId="4C661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Align w:val="center"/>
                </w:tcPr>
                <w:p w14:paraId="598881D1">
                  <w:pPr>
                    <w:widowControl/>
                    <w:jc w:val="center"/>
                    <w:rPr>
                      <w:color w:val="000000"/>
                      <w:kern w:val="0"/>
                      <w:szCs w:val="21"/>
                    </w:rPr>
                  </w:pPr>
                  <w:r>
                    <w:rPr>
                      <w:rFonts w:hint="eastAsia"/>
                      <w:color w:val="000000"/>
                      <w:kern w:val="0"/>
                      <w:szCs w:val="21"/>
                    </w:rPr>
                    <w:t>1</w:t>
                  </w:r>
                </w:p>
              </w:tc>
              <w:tc>
                <w:tcPr>
                  <w:tcW w:w="664" w:type="pct"/>
                  <w:vAlign w:val="center"/>
                </w:tcPr>
                <w:p w14:paraId="64E9022B">
                  <w:pPr>
                    <w:widowControl/>
                    <w:jc w:val="center"/>
                    <w:rPr>
                      <w:color w:val="000000"/>
                      <w:kern w:val="0"/>
                      <w:szCs w:val="21"/>
                    </w:rPr>
                  </w:pPr>
                  <w:r>
                    <w:rPr>
                      <w:snapToGrid w:val="0"/>
                      <w:color w:val="000000"/>
                      <w:szCs w:val="21"/>
                    </w:rPr>
                    <w:t>水泥</w:t>
                  </w:r>
                </w:p>
              </w:tc>
              <w:tc>
                <w:tcPr>
                  <w:tcW w:w="760" w:type="pct"/>
                  <w:vAlign w:val="center"/>
                </w:tcPr>
                <w:p w14:paraId="5A052441">
                  <w:pPr>
                    <w:widowControl/>
                    <w:jc w:val="center"/>
                    <w:rPr>
                      <w:color w:val="000000"/>
                      <w:kern w:val="0"/>
                      <w:szCs w:val="21"/>
                    </w:rPr>
                  </w:pPr>
                  <w:r>
                    <w:rPr>
                      <w:color w:val="000000"/>
                      <w:kern w:val="0"/>
                      <w:szCs w:val="21"/>
                    </w:rPr>
                    <w:t>万t/a</w:t>
                  </w:r>
                </w:p>
              </w:tc>
              <w:tc>
                <w:tcPr>
                  <w:tcW w:w="664" w:type="pct"/>
                  <w:vAlign w:val="center"/>
                </w:tcPr>
                <w:p w14:paraId="124CBC64">
                  <w:pPr>
                    <w:widowControl/>
                    <w:jc w:val="center"/>
                    <w:rPr>
                      <w:color w:val="000000"/>
                      <w:kern w:val="0"/>
                      <w:szCs w:val="21"/>
                    </w:rPr>
                  </w:pPr>
                  <w:r>
                    <w:rPr>
                      <w:rFonts w:hint="eastAsia"/>
                      <w:color w:val="000000"/>
                      <w:kern w:val="0"/>
                      <w:szCs w:val="21"/>
                    </w:rPr>
                    <w:t>2.5911</w:t>
                  </w:r>
                </w:p>
              </w:tc>
              <w:tc>
                <w:tcPr>
                  <w:tcW w:w="854" w:type="pct"/>
                  <w:vAlign w:val="center"/>
                </w:tcPr>
                <w:p w14:paraId="24E3F596">
                  <w:pPr>
                    <w:widowControl/>
                    <w:jc w:val="center"/>
                    <w:rPr>
                      <w:kern w:val="0"/>
                      <w:szCs w:val="21"/>
                    </w:rPr>
                  </w:pPr>
                  <w:r>
                    <w:rPr>
                      <w:kern w:val="0"/>
                      <w:szCs w:val="21"/>
                    </w:rPr>
                    <w:t>425</w:t>
                  </w:r>
                  <w:r>
                    <w:rPr>
                      <w:rFonts w:hint="eastAsia"/>
                      <w:kern w:val="0"/>
                      <w:szCs w:val="21"/>
                    </w:rPr>
                    <w:t>型水泥</w:t>
                  </w:r>
                </w:p>
              </w:tc>
              <w:tc>
                <w:tcPr>
                  <w:tcW w:w="854" w:type="pct"/>
                  <w:vAlign w:val="center"/>
                </w:tcPr>
                <w:p w14:paraId="58514A3E">
                  <w:pPr>
                    <w:widowControl/>
                    <w:jc w:val="center"/>
                    <w:rPr>
                      <w:kern w:val="0"/>
                      <w:szCs w:val="21"/>
                    </w:rPr>
                  </w:pPr>
                  <w:r>
                    <w:rPr>
                      <w:rFonts w:hint="eastAsia"/>
                      <w:kern w:val="0"/>
                      <w:szCs w:val="21"/>
                    </w:rPr>
                    <w:t>罐车运输</w:t>
                  </w:r>
                </w:p>
              </w:tc>
              <w:tc>
                <w:tcPr>
                  <w:tcW w:w="810" w:type="pct"/>
                  <w:vAlign w:val="center"/>
                </w:tcPr>
                <w:p w14:paraId="419A02B1">
                  <w:pPr>
                    <w:widowControl/>
                    <w:jc w:val="center"/>
                    <w:rPr>
                      <w:kern w:val="0"/>
                      <w:szCs w:val="21"/>
                    </w:rPr>
                  </w:pPr>
                  <w:r>
                    <w:rPr>
                      <w:rFonts w:hint="eastAsia"/>
                      <w:kern w:val="0"/>
                      <w:szCs w:val="21"/>
                    </w:rPr>
                    <w:t>筒仓</w:t>
                  </w:r>
                </w:p>
              </w:tc>
            </w:tr>
            <w:tr w14:paraId="1B093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Align w:val="center"/>
                </w:tcPr>
                <w:p w14:paraId="035EF041">
                  <w:pPr>
                    <w:widowControl/>
                    <w:jc w:val="center"/>
                    <w:rPr>
                      <w:color w:val="000000"/>
                      <w:kern w:val="0"/>
                      <w:szCs w:val="21"/>
                    </w:rPr>
                  </w:pPr>
                  <w:r>
                    <w:rPr>
                      <w:rFonts w:hint="eastAsia"/>
                      <w:color w:val="000000"/>
                      <w:kern w:val="0"/>
                      <w:szCs w:val="21"/>
                    </w:rPr>
                    <w:t>2</w:t>
                  </w:r>
                </w:p>
              </w:tc>
              <w:tc>
                <w:tcPr>
                  <w:tcW w:w="664" w:type="pct"/>
                  <w:vAlign w:val="center"/>
                </w:tcPr>
                <w:p w14:paraId="6C33A97B">
                  <w:pPr>
                    <w:widowControl/>
                    <w:jc w:val="center"/>
                    <w:rPr>
                      <w:color w:val="000000"/>
                      <w:kern w:val="0"/>
                      <w:szCs w:val="21"/>
                    </w:rPr>
                  </w:pPr>
                  <w:r>
                    <w:rPr>
                      <w:rFonts w:hint="eastAsia"/>
                      <w:snapToGrid w:val="0"/>
                      <w:color w:val="000000"/>
                      <w:szCs w:val="21"/>
                    </w:rPr>
                    <w:t>砂子</w:t>
                  </w:r>
                </w:p>
              </w:tc>
              <w:tc>
                <w:tcPr>
                  <w:tcW w:w="760" w:type="pct"/>
                  <w:vAlign w:val="center"/>
                </w:tcPr>
                <w:p w14:paraId="14F9B28C">
                  <w:pPr>
                    <w:widowControl/>
                    <w:jc w:val="center"/>
                    <w:rPr>
                      <w:color w:val="000000"/>
                      <w:kern w:val="0"/>
                      <w:szCs w:val="21"/>
                    </w:rPr>
                  </w:pPr>
                  <w:r>
                    <w:rPr>
                      <w:color w:val="000000"/>
                      <w:kern w:val="0"/>
                      <w:szCs w:val="21"/>
                    </w:rPr>
                    <w:t>万t/a</w:t>
                  </w:r>
                </w:p>
              </w:tc>
              <w:tc>
                <w:tcPr>
                  <w:tcW w:w="664" w:type="pct"/>
                  <w:vAlign w:val="center"/>
                </w:tcPr>
                <w:p w14:paraId="4A4356D6">
                  <w:pPr>
                    <w:widowControl/>
                    <w:jc w:val="center"/>
                    <w:rPr>
                      <w:color w:val="000000"/>
                      <w:kern w:val="0"/>
                      <w:szCs w:val="21"/>
                    </w:rPr>
                  </w:pPr>
                  <w:r>
                    <w:rPr>
                      <w:rFonts w:hint="eastAsia"/>
                      <w:color w:val="000000"/>
                      <w:kern w:val="0"/>
                      <w:szCs w:val="21"/>
                    </w:rPr>
                    <w:t>15.7824</w:t>
                  </w:r>
                </w:p>
              </w:tc>
              <w:tc>
                <w:tcPr>
                  <w:tcW w:w="854" w:type="pct"/>
                  <w:vAlign w:val="center"/>
                </w:tcPr>
                <w:p w14:paraId="14672F81">
                  <w:pPr>
                    <w:widowControl/>
                    <w:jc w:val="center"/>
                    <w:rPr>
                      <w:kern w:val="0"/>
                      <w:szCs w:val="21"/>
                    </w:rPr>
                  </w:pPr>
                  <w:r>
                    <w:rPr>
                      <w:rFonts w:hint="eastAsia"/>
                      <w:snapToGrid w:val="0"/>
                      <w:kern w:val="0"/>
                      <w:szCs w:val="21"/>
                    </w:rPr>
                    <w:t>粒径≤</w:t>
                  </w:r>
                  <w:r>
                    <w:rPr>
                      <w:snapToGrid w:val="0"/>
                      <w:kern w:val="0"/>
                      <w:szCs w:val="21"/>
                    </w:rPr>
                    <w:t>3mm</w:t>
                  </w:r>
                </w:p>
              </w:tc>
              <w:tc>
                <w:tcPr>
                  <w:tcW w:w="854" w:type="pct"/>
                  <w:vAlign w:val="center"/>
                </w:tcPr>
                <w:p w14:paraId="55962095">
                  <w:pPr>
                    <w:widowControl/>
                    <w:jc w:val="center"/>
                    <w:rPr>
                      <w:kern w:val="0"/>
                      <w:szCs w:val="21"/>
                    </w:rPr>
                  </w:pPr>
                  <w:r>
                    <w:rPr>
                      <w:rFonts w:hint="eastAsia"/>
                      <w:kern w:val="0"/>
                      <w:szCs w:val="21"/>
                    </w:rPr>
                    <w:t>封闭皮带运输</w:t>
                  </w:r>
                </w:p>
              </w:tc>
              <w:tc>
                <w:tcPr>
                  <w:tcW w:w="810" w:type="pct"/>
                  <w:vAlign w:val="center"/>
                </w:tcPr>
                <w:p w14:paraId="7B6CE139">
                  <w:pPr>
                    <w:widowControl/>
                    <w:jc w:val="center"/>
                    <w:rPr>
                      <w:color w:val="FF0000"/>
                      <w:kern w:val="0"/>
                      <w:szCs w:val="21"/>
                    </w:rPr>
                  </w:pPr>
                  <w:r>
                    <w:rPr>
                      <w:rFonts w:hint="eastAsia"/>
                      <w:kern w:val="0"/>
                      <w:szCs w:val="21"/>
                    </w:rPr>
                    <w:t>砂库</w:t>
                  </w:r>
                </w:p>
              </w:tc>
            </w:tr>
            <w:tr w14:paraId="698AF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Align w:val="center"/>
                </w:tcPr>
                <w:p w14:paraId="4B0AAA91">
                  <w:pPr>
                    <w:widowControl/>
                    <w:jc w:val="center"/>
                    <w:rPr>
                      <w:color w:val="000000"/>
                      <w:kern w:val="0"/>
                      <w:szCs w:val="21"/>
                    </w:rPr>
                  </w:pPr>
                  <w:r>
                    <w:rPr>
                      <w:rFonts w:hint="eastAsia"/>
                      <w:color w:val="000000"/>
                      <w:kern w:val="0"/>
                      <w:szCs w:val="21"/>
                    </w:rPr>
                    <w:t>3</w:t>
                  </w:r>
                </w:p>
              </w:tc>
              <w:tc>
                <w:tcPr>
                  <w:tcW w:w="664" w:type="pct"/>
                  <w:vAlign w:val="center"/>
                </w:tcPr>
                <w:p w14:paraId="733E656C">
                  <w:pPr>
                    <w:widowControl/>
                    <w:jc w:val="center"/>
                    <w:rPr>
                      <w:snapToGrid w:val="0"/>
                      <w:color w:val="000000"/>
                      <w:szCs w:val="21"/>
                    </w:rPr>
                  </w:pPr>
                  <w:r>
                    <w:rPr>
                      <w:rFonts w:hint="eastAsia"/>
                      <w:snapToGrid w:val="0"/>
                      <w:color w:val="000000"/>
                      <w:szCs w:val="21"/>
                    </w:rPr>
                    <w:t>粉煤灰</w:t>
                  </w:r>
                </w:p>
              </w:tc>
              <w:tc>
                <w:tcPr>
                  <w:tcW w:w="760" w:type="pct"/>
                  <w:vAlign w:val="center"/>
                </w:tcPr>
                <w:p w14:paraId="3BC5DDE4">
                  <w:pPr>
                    <w:widowControl/>
                    <w:jc w:val="center"/>
                    <w:rPr>
                      <w:color w:val="000000"/>
                      <w:kern w:val="0"/>
                      <w:szCs w:val="21"/>
                    </w:rPr>
                  </w:pPr>
                  <w:r>
                    <w:rPr>
                      <w:rFonts w:hint="eastAsia"/>
                      <w:color w:val="000000"/>
                      <w:kern w:val="0"/>
                      <w:szCs w:val="21"/>
                    </w:rPr>
                    <w:t>万</w:t>
                  </w:r>
                  <w:r>
                    <w:rPr>
                      <w:color w:val="000000"/>
                      <w:kern w:val="0"/>
                      <w:szCs w:val="21"/>
                    </w:rPr>
                    <w:t>t/a</w:t>
                  </w:r>
                </w:p>
              </w:tc>
              <w:tc>
                <w:tcPr>
                  <w:tcW w:w="664" w:type="pct"/>
                  <w:vAlign w:val="center"/>
                </w:tcPr>
                <w:p w14:paraId="30DE3ED5">
                  <w:pPr>
                    <w:widowControl/>
                    <w:jc w:val="center"/>
                    <w:rPr>
                      <w:color w:val="000000"/>
                      <w:kern w:val="0"/>
                      <w:szCs w:val="21"/>
                    </w:rPr>
                  </w:pPr>
                  <w:r>
                    <w:rPr>
                      <w:rFonts w:hint="eastAsia"/>
                      <w:color w:val="000000"/>
                      <w:kern w:val="0"/>
                      <w:szCs w:val="21"/>
                    </w:rPr>
                    <w:t>1.6307</w:t>
                  </w:r>
                </w:p>
              </w:tc>
              <w:tc>
                <w:tcPr>
                  <w:tcW w:w="854" w:type="pct"/>
                  <w:vAlign w:val="center"/>
                </w:tcPr>
                <w:p w14:paraId="591D4466">
                  <w:pPr>
                    <w:widowControl/>
                    <w:jc w:val="center"/>
                    <w:rPr>
                      <w:snapToGrid w:val="0"/>
                      <w:kern w:val="0"/>
                      <w:szCs w:val="21"/>
                    </w:rPr>
                  </w:pPr>
                  <w:r>
                    <w:rPr>
                      <w:snapToGrid w:val="0"/>
                      <w:kern w:val="0"/>
                      <w:szCs w:val="21"/>
                    </w:rPr>
                    <w:t>/</w:t>
                  </w:r>
                </w:p>
              </w:tc>
              <w:tc>
                <w:tcPr>
                  <w:tcW w:w="854" w:type="pct"/>
                  <w:vAlign w:val="center"/>
                </w:tcPr>
                <w:p w14:paraId="52D5E0C9">
                  <w:pPr>
                    <w:widowControl/>
                    <w:jc w:val="center"/>
                    <w:rPr>
                      <w:kern w:val="0"/>
                      <w:szCs w:val="21"/>
                    </w:rPr>
                  </w:pPr>
                  <w:r>
                    <w:rPr>
                      <w:rFonts w:hint="eastAsia"/>
                      <w:kern w:val="0"/>
                      <w:szCs w:val="21"/>
                    </w:rPr>
                    <w:t>罐车运输</w:t>
                  </w:r>
                </w:p>
              </w:tc>
              <w:tc>
                <w:tcPr>
                  <w:tcW w:w="810" w:type="pct"/>
                  <w:vAlign w:val="center"/>
                </w:tcPr>
                <w:p w14:paraId="721D4FCA">
                  <w:pPr>
                    <w:widowControl/>
                    <w:jc w:val="center"/>
                    <w:rPr>
                      <w:kern w:val="0"/>
                      <w:szCs w:val="21"/>
                    </w:rPr>
                  </w:pPr>
                  <w:r>
                    <w:rPr>
                      <w:rFonts w:hint="eastAsia"/>
                      <w:kern w:val="0"/>
                      <w:szCs w:val="21"/>
                    </w:rPr>
                    <w:t>筒仓</w:t>
                  </w:r>
                </w:p>
              </w:tc>
            </w:tr>
            <w:tr w14:paraId="24791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Align w:val="center"/>
                </w:tcPr>
                <w:p w14:paraId="1255B0EA">
                  <w:pPr>
                    <w:widowControl/>
                    <w:jc w:val="center"/>
                    <w:rPr>
                      <w:color w:val="000000"/>
                      <w:kern w:val="0"/>
                      <w:szCs w:val="21"/>
                    </w:rPr>
                  </w:pPr>
                  <w:r>
                    <w:rPr>
                      <w:rFonts w:hint="eastAsia"/>
                      <w:color w:val="000000"/>
                      <w:kern w:val="0"/>
                      <w:szCs w:val="21"/>
                    </w:rPr>
                    <w:t>4</w:t>
                  </w:r>
                </w:p>
              </w:tc>
              <w:tc>
                <w:tcPr>
                  <w:tcW w:w="664" w:type="pct"/>
                  <w:vAlign w:val="center"/>
                </w:tcPr>
                <w:p w14:paraId="7C70CF3B">
                  <w:pPr>
                    <w:widowControl/>
                    <w:jc w:val="center"/>
                    <w:rPr>
                      <w:color w:val="000000"/>
                      <w:kern w:val="0"/>
                      <w:szCs w:val="21"/>
                    </w:rPr>
                  </w:pPr>
                  <w:r>
                    <w:rPr>
                      <w:snapToGrid w:val="0"/>
                      <w:color w:val="000000"/>
                      <w:szCs w:val="21"/>
                    </w:rPr>
                    <w:t>外加剂</w:t>
                  </w:r>
                </w:p>
              </w:tc>
              <w:tc>
                <w:tcPr>
                  <w:tcW w:w="760" w:type="pct"/>
                  <w:vAlign w:val="center"/>
                </w:tcPr>
                <w:p w14:paraId="0ECAFC8D">
                  <w:pPr>
                    <w:widowControl/>
                    <w:jc w:val="center"/>
                    <w:rPr>
                      <w:color w:val="000000"/>
                      <w:kern w:val="0"/>
                      <w:szCs w:val="21"/>
                    </w:rPr>
                  </w:pPr>
                  <w:r>
                    <w:rPr>
                      <w:rFonts w:hint="eastAsia"/>
                      <w:color w:val="000000"/>
                      <w:kern w:val="0"/>
                      <w:szCs w:val="21"/>
                    </w:rPr>
                    <w:t>万</w:t>
                  </w:r>
                  <w:r>
                    <w:rPr>
                      <w:color w:val="000000"/>
                      <w:kern w:val="0"/>
                      <w:szCs w:val="21"/>
                    </w:rPr>
                    <w:t>t/a</w:t>
                  </w:r>
                </w:p>
              </w:tc>
              <w:tc>
                <w:tcPr>
                  <w:tcW w:w="664" w:type="pct"/>
                  <w:vAlign w:val="center"/>
                </w:tcPr>
                <w:p w14:paraId="1C477947">
                  <w:pPr>
                    <w:widowControl/>
                    <w:jc w:val="center"/>
                    <w:rPr>
                      <w:color w:val="000000"/>
                      <w:kern w:val="0"/>
                      <w:szCs w:val="21"/>
                    </w:rPr>
                  </w:pPr>
                  <w:r>
                    <w:rPr>
                      <w:rFonts w:hint="eastAsia"/>
                      <w:color w:val="000000"/>
                      <w:kern w:val="0"/>
                      <w:szCs w:val="21"/>
                    </w:rPr>
                    <w:t>0.0048</w:t>
                  </w:r>
                </w:p>
              </w:tc>
              <w:tc>
                <w:tcPr>
                  <w:tcW w:w="854" w:type="pct"/>
                  <w:vAlign w:val="center"/>
                </w:tcPr>
                <w:p w14:paraId="7D045A47">
                  <w:pPr>
                    <w:widowControl/>
                    <w:jc w:val="center"/>
                    <w:rPr>
                      <w:kern w:val="0"/>
                      <w:szCs w:val="21"/>
                    </w:rPr>
                  </w:pPr>
                  <w:r>
                    <w:rPr>
                      <w:kern w:val="0"/>
                      <w:szCs w:val="21"/>
                    </w:rPr>
                    <w:t>/</w:t>
                  </w:r>
                </w:p>
              </w:tc>
              <w:tc>
                <w:tcPr>
                  <w:tcW w:w="854" w:type="pct"/>
                  <w:vAlign w:val="center"/>
                </w:tcPr>
                <w:p w14:paraId="2B084C8E">
                  <w:pPr>
                    <w:widowControl/>
                    <w:jc w:val="center"/>
                    <w:rPr>
                      <w:kern w:val="0"/>
                      <w:szCs w:val="21"/>
                    </w:rPr>
                  </w:pPr>
                  <w:r>
                    <w:rPr>
                      <w:rFonts w:hint="eastAsia"/>
                      <w:kern w:val="0"/>
                      <w:szCs w:val="21"/>
                    </w:rPr>
                    <w:t>袋装物料，汽车运输</w:t>
                  </w:r>
                </w:p>
              </w:tc>
              <w:tc>
                <w:tcPr>
                  <w:tcW w:w="810" w:type="pct"/>
                  <w:vAlign w:val="center"/>
                </w:tcPr>
                <w:p w14:paraId="786DB9AD">
                  <w:pPr>
                    <w:widowControl/>
                    <w:jc w:val="center"/>
                    <w:rPr>
                      <w:kern w:val="0"/>
                      <w:szCs w:val="21"/>
                    </w:rPr>
                  </w:pPr>
                  <w:r>
                    <w:rPr>
                      <w:rFonts w:hint="eastAsia"/>
                      <w:kern w:val="0"/>
                      <w:szCs w:val="21"/>
                    </w:rPr>
                    <w:t>暂存于库房</w:t>
                  </w:r>
                </w:p>
              </w:tc>
            </w:tr>
            <w:tr w14:paraId="1DAD9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Align w:val="center"/>
                </w:tcPr>
                <w:p w14:paraId="546A11EC">
                  <w:pPr>
                    <w:widowControl/>
                    <w:jc w:val="center"/>
                    <w:rPr>
                      <w:color w:val="000000"/>
                      <w:kern w:val="0"/>
                      <w:szCs w:val="21"/>
                    </w:rPr>
                  </w:pPr>
                  <w:r>
                    <w:rPr>
                      <w:rFonts w:hint="eastAsia"/>
                      <w:color w:val="000000"/>
                      <w:kern w:val="0"/>
                      <w:szCs w:val="21"/>
                    </w:rPr>
                    <w:t>5</w:t>
                  </w:r>
                </w:p>
              </w:tc>
              <w:tc>
                <w:tcPr>
                  <w:tcW w:w="664" w:type="pct"/>
                  <w:vAlign w:val="center"/>
                </w:tcPr>
                <w:p w14:paraId="043E6C98">
                  <w:pPr>
                    <w:widowControl/>
                    <w:jc w:val="center"/>
                    <w:rPr>
                      <w:snapToGrid w:val="0"/>
                      <w:color w:val="000000"/>
                      <w:szCs w:val="21"/>
                    </w:rPr>
                  </w:pPr>
                  <w:r>
                    <w:t>电</w:t>
                  </w:r>
                </w:p>
              </w:tc>
              <w:tc>
                <w:tcPr>
                  <w:tcW w:w="760" w:type="pct"/>
                  <w:vAlign w:val="center"/>
                </w:tcPr>
                <w:p w14:paraId="69D8BF3C">
                  <w:pPr>
                    <w:widowControl/>
                    <w:jc w:val="center"/>
                    <w:rPr>
                      <w:color w:val="000000"/>
                      <w:kern w:val="0"/>
                      <w:szCs w:val="21"/>
                    </w:rPr>
                  </w:pPr>
                  <w:r>
                    <w:t>万kWh/a</w:t>
                  </w:r>
                </w:p>
              </w:tc>
              <w:tc>
                <w:tcPr>
                  <w:tcW w:w="664" w:type="pct"/>
                  <w:vAlign w:val="center"/>
                </w:tcPr>
                <w:p w14:paraId="3B2D4D98">
                  <w:pPr>
                    <w:widowControl/>
                    <w:jc w:val="center"/>
                    <w:rPr>
                      <w:color w:val="000000"/>
                      <w:kern w:val="0"/>
                      <w:szCs w:val="21"/>
                    </w:rPr>
                  </w:pPr>
                  <w:r>
                    <w:rPr>
                      <w:rFonts w:hint="eastAsia"/>
                      <w:color w:val="000000"/>
                      <w:kern w:val="0"/>
                      <w:szCs w:val="21"/>
                    </w:rPr>
                    <w:t>270</w:t>
                  </w:r>
                </w:p>
              </w:tc>
              <w:tc>
                <w:tcPr>
                  <w:tcW w:w="854" w:type="pct"/>
                  <w:vAlign w:val="center"/>
                </w:tcPr>
                <w:p w14:paraId="5406902B">
                  <w:pPr>
                    <w:widowControl/>
                    <w:jc w:val="center"/>
                    <w:rPr>
                      <w:kern w:val="0"/>
                      <w:szCs w:val="21"/>
                    </w:rPr>
                  </w:pPr>
                  <w:r>
                    <w:rPr>
                      <w:rFonts w:hint="eastAsia"/>
                      <w:kern w:val="0"/>
                      <w:szCs w:val="21"/>
                    </w:rPr>
                    <w:t>/</w:t>
                  </w:r>
                </w:p>
              </w:tc>
              <w:tc>
                <w:tcPr>
                  <w:tcW w:w="854" w:type="pct"/>
                  <w:vAlign w:val="center"/>
                </w:tcPr>
                <w:p w14:paraId="1AD59432">
                  <w:pPr>
                    <w:widowControl/>
                    <w:jc w:val="center"/>
                    <w:rPr>
                      <w:kern w:val="0"/>
                      <w:szCs w:val="21"/>
                    </w:rPr>
                  </w:pPr>
                  <w:r>
                    <w:rPr>
                      <w:rFonts w:hint="eastAsia"/>
                      <w:kern w:val="0"/>
                      <w:szCs w:val="21"/>
                    </w:rPr>
                    <w:t>/</w:t>
                  </w:r>
                </w:p>
              </w:tc>
              <w:tc>
                <w:tcPr>
                  <w:tcW w:w="810" w:type="pct"/>
                  <w:vAlign w:val="center"/>
                </w:tcPr>
                <w:p w14:paraId="0EA2FC16">
                  <w:pPr>
                    <w:widowControl/>
                    <w:jc w:val="center"/>
                    <w:rPr>
                      <w:kern w:val="0"/>
                      <w:szCs w:val="21"/>
                    </w:rPr>
                  </w:pPr>
                  <w:r>
                    <w:rPr>
                      <w:rFonts w:hint="eastAsia"/>
                      <w:kern w:val="0"/>
                      <w:szCs w:val="21"/>
                    </w:rPr>
                    <w:t>/</w:t>
                  </w:r>
                </w:p>
              </w:tc>
            </w:tr>
            <w:bookmarkEnd w:id="5"/>
            <w:bookmarkEnd w:id="6"/>
          </w:tbl>
          <w:p w14:paraId="2825113D">
            <w:pPr>
              <w:adjustRightInd w:val="0"/>
              <w:snapToGrid w:val="0"/>
              <w:spacing w:line="360" w:lineRule="auto"/>
              <w:rPr>
                <w:b/>
                <w:bCs/>
                <w:sz w:val="24"/>
              </w:rPr>
            </w:pPr>
            <w:r>
              <w:rPr>
                <w:b/>
                <w:bCs/>
                <w:sz w:val="24"/>
              </w:rPr>
              <w:t>2.3 主要设备</w:t>
            </w:r>
          </w:p>
          <w:p w14:paraId="3113193E">
            <w:pPr>
              <w:spacing w:line="360" w:lineRule="auto"/>
              <w:jc w:val="center"/>
              <w:rPr>
                <w:b/>
                <w:kern w:val="0"/>
                <w:szCs w:val="21"/>
              </w:rPr>
            </w:pPr>
            <w:bookmarkStart w:id="7" w:name="_Hlk173942160"/>
            <w:r>
              <w:rPr>
                <w:b/>
                <w:kern w:val="0"/>
                <w:szCs w:val="21"/>
              </w:rPr>
              <w:t>表2-3 本项目主要设备一览表</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0"/>
              <w:gridCol w:w="691"/>
              <w:gridCol w:w="1766"/>
              <w:gridCol w:w="4163"/>
              <w:gridCol w:w="725"/>
            </w:tblGrid>
            <w:tr w14:paraId="71DEC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44BC2F52">
                  <w:pPr>
                    <w:adjustRightInd w:val="0"/>
                    <w:snapToGrid w:val="0"/>
                    <w:jc w:val="center"/>
                    <w:rPr>
                      <w:color w:val="000000"/>
                      <w:szCs w:val="21"/>
                    </w:rPr>
                  </w:pPr>
                  <w:bookmarkStart w:id="8" w:name="_Hlk128150088"/>
                  <w:r>
                    <w:rPr>
                      <w:color w:val="000000"/>
                      <w:szCs w:val="21"/>
                    </w:rPr>
                    <w:t>序号</w:t>
                  </w:r>
                </w:p>
              </w:tc>
              <w:tc>
                <w:tcPr>
                  <w:tcW w:w="429" w:type="pct"/>
                  <w:vAlign w:val="center"/>
                </w:tcPr>
                <w:p w14:paraId="027047CA">
                  <w:pPr>
                    <w:adjustRightInd w:val="0"/>
                    <w:snapToGrid w:val="0"/>
                    <w:jc w:val="center"/>
                    <w:rPr>
                      <w:color w:val="000000"/>
                      <w:szCs w:val="21"/>
                    </w:rPr>
                  </w:pPr>
                  <w:r>
                    <w:rPr>
                      <w:rFonts w:hint="eastAsia"/>
                      <w:color w:val="000000"/>
                      <w:szCs w:val="21"/>
                    </w:rPr>
                    <w:t>系统</w:t>
                  </w:r>
                </w:p>
              </w:tc>
              <w:tc>
                <w:tcPr>
                  <w:tcW w:w="1096" w:type="pct"/>
                  <w:vAlign w:val="center"/>
                </w:tcPr>
                <w:p w14:paraId="287ED28C">
                  <w:pPr>
                    <w:adjustRightInd w:val="0"/>
                    <w:snapToGrid w:val="0"/>
                    <w:jc w:val="center"/>
                    <w:rPr>
                      <w:color w:val="000000"/>
                      <w:szCs w:val="21"/>
                    </w:rPr>
                  </w:pPr>
                  <w:r>
                    <w:rPr>
                      <w:rFonts w:hint="eastAsia"/>
                      <w:color w:val="000000"/>
                      <w:szCs w:val="21"/>
                    </w:rPr>
                    <w:t>部件</w:t>
                  </w:r>
                </w:p>
              </w:tc>
              <w:tc>
                <w:tcPr>
                  <w:tcW w:w="2584" w:type="pct"/>
                  <w:vAlign w:val="center"/>
                </w:tcPr>
                <w:p w14:paraId="24600740">
                  <w:pPr>
                    <w:adjustRightInd w:val="0"/>
                    <w:snapToGrid w:val="0"/>
                    <w:jc w:val="center"/>
                    <w:rPr>
                      <w:color w:val="000000"/>
                      <w:szCs w:val="21"/>
                    </w:rPr>
                  </w:pPr>
                  <w:r>
                    <w:rPr>
                      <w:rFonts w:hint="eastAsia"/>
                      <w:color w:val="000000"/>
                      <w:szCs w:val="21"/>
                    </w:rPr>
                    <w:t>名称及规格</w:t>
                  </w:r>
                </w:p>
              </w:tc>
              <w:tc>
                <w:tcPr>
                  <w:tcW w:w="450" w:type="pct"/>
                  <w:vAlign w:val="center"/>
                </w:tcPr>
                <w:p w14:paraId="1302EA2F">
                  <w:pPr>
                    <w:adjustRightInd w:val="0"/>
                    <w:snapToGrid w:val="0"/>
                    <w:jc w:val="center"/>
                    <w:rPr>
                      <w:color w:val="000000"/>
                      <w:szCs w:val="21"/>
                    </w:rPr>
                  </w:pPr>
                  <w:r>
                    <w:rPr>
                      <w:rFonts w:hint="eastAsia"/>
                      <w:color w:val="000000"/>
                      <w:szCs w:val="21"/>
                    </w:rPr>
                    <w:t>数量</w:t>
                  </w:r>
                </w:p>
              </w:tc>
            </w:tr>
            <w:bookmarkEnd w:id="8"/>
            <w:tr w14:paraId="26AFB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0BB59A11">
                  <w:pPr>
                    <w:adjustRightInd w:val="0"/>
                    <w:snapToGrid w:val="0"/>
                    <w:jc w:val="center"/>
                    <w:rPr>
                      <w:color w:val="000000"/>
                      <w:szCs w:val="21"/>
                    </w:rPr>
                  </w:pPr>
                  <w:r>
                    <w:rPr>
                      <w:rFonts w:hint="eastAsia"/>
                      <w:color w:val="000000"/>
                      <w:szCs w:val="21"/>
                    </w:rPr>
                    <w:t>1</w:t>
                  </w:r>
                </w:p>
              </w:tc>
              <w:tc>
                <w:tcPr>
                  <w:tcW w:w="429" w:type="pct"/>
                  <w:vAlign w:val="center"/>
                </w:tcPr>
                <w:p w14:paraId="50E43FBD">
                  <w:pPr>
                    <w:widowControl/>
                    <w:adjustRightInd w:val="0"/>
                    <w:snapToGrid w:val="0"/>
                    <w:jc w:val="center"/>
                    <w:rPr>
                      <w:color w:val="000000"/>
                      <w:kern w:val="0"/>
                      <w:szCs w:val="21"/>
                    </w:rPr>
                  </w:pPr>
                  <w:r>
                    <w:rPr>
                      <w:rFonts w:hint="eastAsia"/>
                      <w:color w:val="000000"/>
                      <w:kern w:val="0"/>
                      <w:szCs w:val="21"/>
                    </w:rPr>
                    <w:t>粉料计量系统</w:t>
                  </w:r>
                </w:p>
              </w:tc>
              <w:tc>
                <w:tcPr>
                  <w:tcW w:w="1096" w:type="pct"/>
                  <w:vAlign w:val="center"/>
                </w:tcPr>
                <w:p w14:paraId="5F6E0D06">
                  <w:pPr>
                    <w:widowControl/>
                    <w:adjustRightInd w:val="0"/>
                    <w:snapToGrid w:val="0"/>
                    <w:jc w:val="center"/>
                    <w:rPr>
                      <w:color w:val="000000"/>
                      <w:kern w:val="0"/>
                      <w:szCs w:val="21"/>
                    </w:rPr>
                  </w:pPr>
                  <w:r>
                    <w:rPr>
                      <w:rFonts w:hint="eastAsia"/>
                      <w:color w:val="000000"/>
                      <w:kern w:val="0"/>
                      <w:szCs w:val="21"/>
                    </w:rPr>
                    <w:t>水泥计量</w:t>
                  </w:r>
                </w:p>
                <w:p w14:paraId="1BF69771">
                  <w:pPr>
                    <w:widowControl/>
                    <w:adjustRightInd w:val="0"/>
                    <w:snapToGrid w:val="0"/>
                    <w:jc w:val="center"/>
                    <w:rPr>
                      <w:color w:val="000000"/>
                      <w:kern w:val="0"/>
                      <w:szCs w:val="21"/>
                    </w:rPr>
                  </w:pPr>
                  <w:r>
                    <w:rPr>
                      <w:rFonts w:hint="eastAsia"/>
                      <w:color w:val="000000"/>
                      <w:kern w:val="0"/>
                      <w:szCs w:val="21"/>
                    </w:rPr>
                    <w:t>称（点动补料专利技术）</w:t>
                  </w:r>
                </w:p>
              </w:tc>
              <w:tc>
                <w:tcPr>
                  <w:tcW w:w="2584" w:type="pct"/>
                  <w:vAlign w:val="center"/>
                </w:tcPr>
                <w:p w14:paraId="5E1C91FB">
                  <w:pPr>
                    <w:adjustRightInd w:val="0"/>
                    <w:snapToGrid w:val="0"/>
                    <w:jc w:val="center"/>
                    <w:rPr>
                      <w:color w:val="000000"/>
                      <w:kern w:val="0"/>
                      <w:szCs w:val="21"/>
                    </w:rPr>
                  </w:pPr>
                  <w:r>
                    <w:rPr>
                      <w:rFonts w:hint="eastAsia"/>
                      <w:color w:val="000000"/>
                      <w:kern w:val="0"/>
                      <w:szCs w:val="21"/>
                    </w:rPr>
                    <w:t>抗干扰计量斗2000kg，传感器1000kg，振动器MVE100/3，气动碟阀DN300</w:t>
                  </w:r>
                </w:p>
              </w:tc>
              <w:tc>
                <w:tcPr>
                  <w:tcW w:w="450" w:type="pct"/>
                  <w:vAlign w:val="center"/>
                </w:tcPr>
                <w:p w14:paraId="0919326A">
                  <w:pPr>
                    <w:adjustRightInd w:val="0"/>
                    <w:snapToGrid w:val="0"/>
                    <w:jc w:val="center"/>
                    <w:rPr>
                      <w:color w:val="000000"/>
                      <w:szCs w:val="21"/>
                    </w:rPr>
                  </w:pPr>
                  <w:r>
                    <w:rPr>
                      <w:color w:val="000000"/>
                      <w:szCs w:val="21"/>
                    </w:rPr>
                    <w:t>1</w:t>
                  </w:r>
                  <w:r>
                    <w:rPr>
                      <w:rFonts w:hint="eastAsia"/>
                      <w:color w:val="000000"/>
                      <w:szCs w:val="21"/>
                    </w:rPr>
                    <w:t>套</w:t>
                  </w:r>
                </w:p>
              </w:tc>
            </w:tr>
            <w:tr w14:paraId="1FDFA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3D73AE98">
                  <w:pPr>
                    <w:adjustRightInd w:val="0"/>
                    <w:snapToGrid w:val="0"/>
                    <w:jc w:val="center"/>
                    <w:rPr>
                      <w:color w:val="000000"/>
                      <w:szCs w:val="21"/>
                    </w:rPr>
                  </w:pPr>
                  <w:r>
                    <w:rPr>
                      <w:rFonts w:hint="eastAsia"/>
                      <w:color w:val="000000"/>
                      <w:szCs w:val="21"/>
                    </w:rPr>
                    <w:t>2</w:t>
                  </w:r>
                </w:p>
              </w:tc>
              <w:tc>
                <w:tcPr>
                  <w:tcW w:w="429" w:type="pct"/>
                  <w:vMerge w:val="restart"/>
                  <w:vAlign w:val="center"/>
                </w:tcPr>
                <w:p w14:paraId="19FDC6A7">
                  <w:pPr>
                    <w:widowControl/>
                    <w:adjustRightInd w:val="0"/>
                    <w:snapToGrid w:val="0"/>
                    <w:jc w:val="center"/>
                    <w:rPr>
                      <w:color w:val="000000"/>
                      <w:kern w:val="0"/>
                      <w:szCs w:val="21"/>
                    </w:rPr>
                  </w:pPr>
                  <w:r>
                    <w:rPr>
                      <w:rFonts w:hint="eastAsia"/>
                      <w:color w:val="000000"/>
                      <w:kern w:val="0"/>
                      <w:szCs w:val="21"/>
                    </w:rPr>
                    <w:t>外加剂系统</w:t>
                  </w:r>
                </w:p>
              </w:tc>
              <w:tc>
                <w:tcPr>
                  <w:tcW w:w="1096" w:type="pct"/>
                  <w:vAlign w:val="center"/>
                </w:tcPr>
                <w:p w14:paraId="37BAA872">
                  <w:pPr>
                    <w:widowControl/>
                    <w:adjustRightInd w:val="0"/>
                    <w:snapToGrid w:val="0"/>
                    <w:jc w:val="center"/>
                    <w:rPr>
                      <w:color w:val="000000"/>
                      <w:kern w:val="0"/>
                      <w:szCs w:val="21"/>
                    </w:rPr>
                  </w:pPr>
                  <w:r>
                    <w:rPr>
                      <w:rFonts w:hint="eastAsia"/>
                      <w:color w:val="000000"/>
                      <w:kern w:val="0"/>
                      <w:szCs w:val="21"/>
                    </w:rPr>
                    <w:t>外加剂提升机</w:t>
                  </w:r>
                </w:p>
              </w:tc>
              <w:tc>
                <w:tcPr>
                  <w:tcW w:w="2584" w:type="pct"/>
                  <w:vAlign w:val="center"/>
                </w:tcPr>
                <w:p w14:paraId="0EDCE499">
                  <w:pPr>
                    <w:adjustRightInd w:val="0"/>
                    <w:snapToGrid w:val="0"/>
                    <w:jc w:val="center"/>
                    <w:rPr>
                      <w:color w:val="000000"/>
                      <w:kern w:val="0"/>
                      <w:szCs w:val="21"/>
                    </w:rPr>
                  </w:pPr>
                  <w:r>
                    <w:rPr>
                      <w:rFonts w:hint="eastAsia"/>
                      <w:color w:val="000000"/>
                      <w:kern w:val="0"/>
                      <w:szCs w:val="21"/>
                    </w:rPr>
                    <w:t>能力1T</w:t>
                  </w:r>
                </w:p>
              </w:tc>
              <w:tc>
                <w:tcPr>
                  <w:tcW w:w="450" w:type="pct"/>
                  <w:vAlign w:val="center"/>
                </w:tcPr>
                <w:p w14:paraId="4B3A8A7D">
                  <w:pPr>
                    <w:adjustRightInd w:val="0"/>
                    <w:snapToGrid w:val="0"/>
                    <w:jc w:val="center"/>
                    <w:rPr>
                      <w:color w:val="000000"/>
                      <w:szCs w:val="21"/>
                    </w:rPr>
                  </w:pPr>
                  <w:r>
                    <w:rPr>
                      <w:color w:val="000000"/>
                      <w:szCs w:val="21"/>
                    </w:rPr>
                    <w:t>1</w:t>
                  </w:r>
                  <w:r>
                    <w:rPr>
                      <w:rFonts w:hint="eastAsia"/>
                      <w:color w:val="000000"/>
                      <w:szCs w:val="21"/>
                    </w:rPr>
                    <w:t>套</w:t>
                  </w:r>
                </w:p>
              </w:tc>
            </w:tr>
            <w:tr w14:paraId="59DE9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6301D561">
                  <w:pPr>
                    <w:adjustRightInd w:val="0"/>
                    <w:snapToGrid w:val="0"/>
                    <w:jc w:val="center"/>
                    <w:rPr>
                      <w:color w:val="000000"/>
                      <w:szCs w:val="21"/>
                    </w:rPr>
                  </w:pPr>
                  <w:r>
                    <w:rPr>
                      <w:rFonts w:hint="eastAsia"/>
                      <w:color w:val="000000"/>
                      <w:szCs w:val="21"/>
                    </w:rPr>
                    <w:t>3</w:t>
                  </w:r>
                </w:p>
              </w:tc>
              <w:tc>
                <w:tcPr>
                  <w:tcW w:w="429" w:type="pct"/>
                  <w:vMerge w:val="continue"/>
                  <w:vAlign w:val="center"/>
                </w:tcPr>
                <w:p w14:paraId="5863D6E2">
                  <w:pPr>
                    <w:widowControl/>
                    <w:adjustRightInd w:val="0"/>
                    <w:snapToGrid w:val="0"/>
                    <w:jc w:val="center"/>
                    <w:rPr>
                      <w:color w:val="000000"/>
                      <w:kern w:val="0"/>
                      <w:szCs w:val="21"/>
                    </w:rPr>
                  </w:pPr>
                </w:p>
              </w:tc>
              <w:tc>
                <w:tcPr>
                  <w:tcW w:w="1096" w:type="pct"/>
                  <w:vAlign w:val="center"/>
                </w:tcPr>
                <w:p w14:paraId="0937847B">
                  <w:pPr>
                    <w:widowControl/>
                    <w:adjustRightInd w:val="0"/>
                    <w:snapToGrid w:val="0"/>
                    <w:jc w:val="center"/>
                    <w:rPr>
                      <w:color w:val="000000"/>
                      <w:kern w:val="0"/>
                      <w:szCs w:val="21"/>
                    </w:rPr>
                  </w:pPr>
                  <w:r>
                    <w:rPr>
                      <w:rFonts w:hint="eastAsia"/>
                      <w:color w:val="000000"/>
                      <w:kern w:val="0"/>
                      <w:szCs w:val="21"/>
                    </w:rPr>
                    <w:t>外加剂储存计量（专利技术）</w:t>
                  </w:r>
                </w:p>
              </w:tc>
              <w:tc>
                <w:tcPr>
                  <w:tcW w:w="2584" w:type="pct"/>
                  <w:vAlign w:val="center"/>
                </w:tcPr>
                <w:p w14:paraId="31E21722">
                  <w:pPr>
                    <w:adjustRightInd w:val="0"/>
                    <w:snapToGrid w:val="0"/>
                    <w:jc w:val="center"/>
                    <w:rPr>
                      <w:color w:val="000000"/>
                      <w:kern w:val="0"/>
                      <w:szCs w:val="21"/>
                    </w:rPr>
                  </w:pPr>
                  <w:r>
                    <w:rPr>
                      <w:rFonts w:hint="eastAsia"/>
                      <w:color w:val="000000"/>
                      <w:kern w:val="0"/>
                      <w:szCs w:val="21"/>
                    </w:rPr>
                    <w:t>不锈钢储存斗，双螺杆螺旋；助流搅拌装置系统，传感器</w:t>
                  </w:r>
                </w:p>
              </w:tc>
              <w:tc>
                <w:tcPr>
                  <w:tcW w:w="450" w:type="pct"/>
                  <w:vAlign w:val="center"/>
                </w:tcPr>
                <w:p w14:paraId="499E52E3">
                  <w:pPr>
                    <w:adjustRightInd w:val="0"/>
                    <w:snapToGrid w:val="0"/>
                    <w:jc w:val="center"/>
                    <w:rPr>
                      <w:color w:val="000000"/>
                      <w:szCs w:val="21"/>
                    </w:rPr>
                  </w:pPr>
                  <w:r>
                    <w:rPr>
                      <w:color w:val="000000"/>
                      <w:szCs w:val="21"/>
                    </w:rPr>
                    <w:t>2</w:t>
                  </w:r>
                  <w:r>
                    <w:rPr>
                      <w:rFonts w:hint="eastAsia"/>
                      <w:color w:val="000000"/>
                      <w:szCs w:val="21"/>
                    </w:rPr>
                    <w:t>套</w:t>
                  </w:r>
                </w:p>
              </w:tc>
            </w:tr>
            <w:tr w14:paraId="77E5F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4B92C509">
                  <w:pPr>
                    <w:adjustRightInd w:val="0"/>
                    <w:snapToGrid w:val="0"/>
                    <w:jc w:val="center"/>
                    <w:rPr>
                      <w:color w:val="000000"/>
                      <w:szCs w:val="21"/>
                    </w:rPr>
                  </w:pPr>
                  <w:r>
                    <w:rPr>
                      <w:rFonts w:hint="eastAsia"/>
                      <w:color w:val="000000"/>
                      <w:szCs w:val="21"/>
                    </w:rPr>
                    <w:t>4</w:t>
                  </w:r>
                </w:p>
              </w:tc>
              <w:tc>
                <w:tcPr>
                  <w:tcW w:w="429" w:type="pct"/>
                  <w:vMerge w:val="restart"/>
                  <w:vAlign w:val="center"/>
                </w:tcPr>
                <w:p w14:paraId="589DD4F7">
                  <w:pPr>
                    <w:widowControl/>
                    <w:adjustRightInd w:val="0"/>
                    <w:snapToGrid w:val="0"/>
                    <w:jc w:val="center"/>
                    <w:rPr>
                      <w:color w:val="000000"/>
                      <w:kern w:val="0"/>
                      <w:szCs w:val="21"/>
                    </w:rPr>
                  </w:pPr>
                  <w:r>
                    <w:rPr>
                      <w:rFonts w:hint="eastAsia"/>
                      <w:color w:val="000000"/>
                      <w:kern w:val="0"/>
                      <w:szCs w:val="21"/>
                    </w:rPr>
                    <w:t>预混料输送系统</w:t>
                  </w:r>
                </w:p>
              </w:tc>
              <w:tc>
                <w:tcPr>
                  <w:tcW w:w="1096" w:type="pct"/>
                  <w:vAlign w:val="center"/>
                </w:tcPr>
                <w:p w14:paraId="39FFFABF">
                  <w:pPr>
                    <w:widowControl/>
                    <w:adjustRightInd w:val="0"/>
                    <w:snapToGrid w:val="0"/>
                    <w:jc w:val="center"/>
                    <w:rPr>
                      <w:color w:val="000000"/>
                      <w:kern w:val="0"/>
                      <w:szCs w:val="21"/>
                    </w:rPr>
                  </w:pPr>
                  <w:r>
                    <w:rPr>
                      <w:rFonts w:hint="eastAsia"/>
                      <w:color w:val="000000"/>
                      <w:kern w:val="0"/>
                      <w:szCs w:val="21"/>
                    </w:rPr>
                    <w:t>砂计量阀门</w:t>
                  </w:r>
                </w:p>
              </w:tc>
              <w:tc>
                <w:tcPr>
                  <w:tcW w:w="2584" w:type="pct"/>
                  <w:vAlign w:val="center"/>
                </w:tcPr>
                <w:p w14:paraId="2C434442">
                  <w:pPr>
                    <w:adjustRightInd w:val="0"/>
                    <w:snapToGrid w:val="0"/>
                    <w:jc w:val="center"/>
                    <w:rPr>
                      <w:color w:val="000000"/>
                      <w:kern w:val="0"/>
                      <w:szCs w:val="21"/>
                    </w:rPr>
                  </w:pPr>
                  <w:r>
                    <w:rPr>
                      <w:rFonts w:hint="eastAsia"/>
                      <w:color w:val="000000"/>
                      <w:kern w:val="0"/>
                      <w:szCs w:val="21"/>
                    </w:rPr>
                    <w:t>手动插板阀+气动插板阀</w:t>
                  </w:r>
                </w:p>
              </w:tc>
              <w:tc>
                <w:tcPr>
                  <w:tcW w:w="450" w:type="pct"/>
                  <w:vAlign w:val="center"/>
                </w:tcPr>
                <w:p w14:paraId="2B9E6DC5">
                  <w:pPr>
                    <w:adjustRightInd w:val="0"/>
                    <w:snapToGrid w:val="0"/>
                    <w:jc w:val="center"/>
                    <w:rPr>
                      <w:color w:val="000000"/>
                      <w:szCs w:val="21"/>
                    </w:rPr>
                  </w:pPr>
                  <w:r>
                    <w:rPr>
                      <w:rFonts w:hint="eastAsia"/>
                      <w:color w:val="000000"/>
                      <w:szCs w:val="21"/>
                    </w:rPr>
                    <w:t>4套</w:t>
                  </w:r>
                </w:p>
              </w:tc>
            </w:tr>
            <w:tr w14:paraId="65E16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4C57E0E0">
                  <w:pPr>
                    <w:adjustRightInd w:val="0"/>
                    <w:snapToGrid w:val="0"/>
                    <w:jc w:val="center"/>
                    <w:rPr>
                      <w:color w:val="000000"/>
                      <w:szCs w:val="21"/>
                    </w:rPr>
                  </w:pPr>
                  <w:r>
                    <w:rPr>
                      <w:rFonts w:hint="eastAsia"/>
                      <w:color w:val="000000"/>
                      <w:szCs w:val="21"/>
                    </w:rPr>
                    <w:t>5</w:t>
                  </w:r>
                </w:p>
              </w:tc>
              <w:tc>
                <w:tcPr>
                  <w:tcW w:w="429" w:type="pct"/>
                  <w:vMerge w:val="continue"/>
                  <w:vAlign w:val="center"/>
                </w:tcPr>
                <w:p w14:paraId="625AD1CE">
                  <w:pPr>
                    <w:widowControl/>
                    <w:adjustRightInd w:val="0"/>
                    <w:snapToGrid w:val="0"/>
                    <w:jc w:val="center"/>
                    <w:rPr>
                      <w:color w:val="000000"/>
                      <w:kern w:val="0"/>
                      <w:szCs w:val="21"/>
                    </w:rPr>
                  </w:pPr>
                </w:p>
              </w:tc>
              <w:tc>
                <w:tcPr>
                  <w:tcW w:w="1096" w:type="pct"/>
                  <w:vAlign w:val="center"/>
                </w:tcPr>
                <w:p w14:paraId="512FC345">
                  <w:pPr>
                    <w:widowControl/>
                    <w:adjustRightInd w:val="0"/>
                    <w:snapToGrid w:val="0"/>
                    <w:jc w:val="center"/>
                    <w:rPr>
                      <w:color w:val="000000"/>
                      <w:kern w:val="0"/>
                      <w:szCs w:val="21"/>
                    </w:rPr>
                  </w:pPr>
                  <w:r>
                    <w:rPr>
                      <w:rFonts w:hint="eastAsia"/>
                      <w:color w:val="000000"/>
                      <w:kern w:val="0"/>
                      <w:szCs w:val="21"/>
                    </w:rPr>
                    <w:t>砂溜槽</w:t>
                  </w:r>
                </w:p>
              </w:tc>
              <w:tc>
                <w:tcPr>
                  <w:tcW w:w="2584" w:type="pct"/>
                  <w:vAlign w:val="center"/>
                </w:tcPr>
                <w:p w14:paraId="30631C70">
                  <w:pPr>
                    <w:adjustRightInd w:val="0"/>
                    <w:snapToGrid w:val="0"/>
                    <w:jc w:val="center"/>
                    <w:rPr>
                      <w:color w:val="000000"/>
                      <w:kern w:val="0"/>
                      <w:szCs w:val="21"/>
                    </w:rPr>
                  </w:pPr>
                  <w:r>
                    <w:rPr>
                      <w:rFonts w:hint="eastAsia"/>
                      <w:color w:val="000000"/>
                      <w:kern w:val="0"/>
                      <w:szCs w:val="21"/>
                    </w:rPr>
                    <w:t>耐磨溜槽</w:t>
                  </w:r>
                </w:p>
              </w:tc>
              <w:tc>
                <w:tcPr>
                  <w:tcW w:w="450" w:type="pct"/>
                  <w:vAlign w:val="center"/>
                </w:tcPr>
                <w:p w14:paraId="6546BD84">
                  <w:pPr>
                    <w:adjustRightInd w:val="0"/>
                    <w:snapToGrid w:val="0"/>
                    <w:jc w:val="center"/>
                    <w:rPr>
                      <w:color w:val="000000"/>
                      <w:szCs w:val="21"/>
                    </w:rPr>
                  </w:pPr>
                  <w:r>
                    <w:rPr>
                      <w:rFonts w:hint="eastAsia"/>
                      <w:color w:val="000000"/>
                      <w:szCs w:val="21"/>
                    </w:rPr>
                    <w:t>4套</w:t>
                  </w:r>
                </w:p>
              </w:tc>
            </w:tr>
            <w:tr w14:paraId="6963C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122F7AB1">
                  <w:pPr>
                    <w:adjustRightInd w:val="0"/>
                    <w:snapToGrid w:val="0"/>
                    <w:jc w:val="center"/>
                    <w:rPr>
                      <w:color w:val="000000"/>
                      <w:szCs w:val="21"/>
                    </w:rPr>
                  </w:pPr>
                  <w:r>
                    <w:rPr>
                      <w:rFonts w:hint="eastAsia"/>
                      <w:color w:val="000000"/>
                      <w:szCs w:val="21"/>
                    </w:rPr>
                    <w:t>6</w:t>
                  </w:r>
                </w:p>
              </w:tc>
              <w:tc>
                <w:tcPr>
                  <w:tcW w:w="429" w:type="pct"/>
                  <w:vMerge w:val="continue"/>
                  <w:vAlign w:val="center"/>
                </w:tcPr>
                <w:p w14:paraId="42829E36">
                  <w:pPr>
                    <w:widowControl/>
                    <w:adjustRightInd w:val="0"/>
                    <w:snapToGrid w:val="0"/>
                    <w:jc w:val="center"/>
                    <w:rPr>
                      <w:color w:val="000000"/>
                      <w:kern w:val="0"/>
                      <w:szCs w:val="21"/>
                    </w:rPr>
                  </w:pPr>
                </w:p>
              </w:tc>
              <w:tc>
                <w:tcPr>
                  <w:tcW w:w="1096" w:type="pct"/>
                  <w:vAlign w:val="center"/>
                </w:tcPr>
                <w:p w14:paraId="27FC4327">
                  <w:pPr>
                    <w:widowControl/>
                    <w:adjustRightInd w:val="0"/>
                    <w:snapToGrid w:val="0"/>
                    <w:jc w:val="center"/>
                    <w:rPr>
                      <w:color w:val="000000"/>
                      <w:kern w:val="0"/>
                      <w:szCs w:val="21"/>
                    </w:rPr>
                  </w:pPr>
                  <w:r>
                    <w:rPr>
                      <w:rFonts w:hint="eastAsia"/>
                      <w:color w:val="000000"/>
                      <w:kern w:val="0"/>
                      <w:szCs w:val="21"/>
                    </w:rPr>
                    <w:t>提升机</w:t>
                  </w:r>
                </w:p>
              </w:tc>
              <w:tc>
                <w:tcPr>
                  <w:tcW w:w="2584" w:type="pct"/>
                  <w:vAlign w:val="center"/>
                </w:tcPr>
                <w:p w14:paraId="13A8F83A">
                  <w:pPr>
                    <w:adjustRightInd w:val="0"/>
                    <w:snapToGrid w:val="0"/>
                    <w:jc w:val="center"/>
                    <w:rPr>
                      <w:color w:val="000000"/>
                      <w:kern w:val="0"/>
                      <w:szCs w:val="21"/>
                    </w:rPr>
                  </w:pPr>
                  <w:r>
                    <w:rPr>
                      <w:rFonts w:hint="eastAsia"/>
                      <w:color w:val="000000"/>
                      <w:kern w:val="0"/>
                      <w:szCs w:val="21"/>
                    </w:rPr>
                    <w:t>NE150斗提机约24m，P=22KW，</w:t>
                  </w:r>
                </w:p>
                <w:p w14:paraId="5447805E">
                  <w:pPr>
                    <w:adjustRightInd w:val="0"/>
                    <w:snapToGrid w:val="0"/>
                    <w:jc w:val="center"/>
                    <w:rPr>
                      <w:color w:val="000000"/>
                      <w:kern w:val="0"/>
                      <w:szCs w:val="21"/>
                    </w:rPr>
                  </w:pPr>
                  <w:r>
                    <w:rPr>
                      <w:rFonts w:hint="eastAsia"/>
                      <w:color w:val="000000"/>
                      <w:kern w:val="0"/>
                      <w:szCs w:val="21"/>
                    </w:rPr>
                    <w:t>辅助传动P=3KW</w:t>
                  </w:r>
                </w:p>
              </w:tc>
              <w:tc>
                <w:tcPr>
                  <w:tcW w:w="450" w:type="pct"/>
                  <w:vAlign w:val="center"/>
                </w:tcPr>
                <w:p w14:paraId="561471EF">
                  <w:pPr>
                    <w:adjustRightInd w:val="0"/>
                    <w:snapToGrid w:val="0"/>
                    <w:jc w:val="center"/>
                    <w:rPr>
                      <w:color w:val="000000"/>
                      <w:szCs w:val="21"/>
                    </w:rPr>
                  </w:pPr>
                  <w:r>
                    <w:rPr>
                      <w:color w:val="000000"/>
                      <w:szCs w:val="21"/>
                    </w:rPr>
                    <w:t>1</w:t>
                  </w:r>
                  <w:r>
                    <w:rPr>
                      <w:rFonts w:hint="eastAsia"/>
                      <w:color w:val="000000"/>
                      <w:szCs w:val="21"/>
                    </w:rPr>
                    <w:t>套</w:t>
                  </w:r>
                </w:p>
              </w:tc>
            </w:tr>
            <w:tr w14:paraId="498A8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347804AD">
                  <w:pPr>
                    <w:adjustRightInd w:val="0"/>
                    <w:snapToGrid w:val="0"/>
                    <w:jc w:val="center"/>
                    <w:rPr>
                      <w:color w:val="000000"/>
                      <w:szCs w:val="21"/>
                    </w:rPr>
                  </w:pPr>
                  <w:r>
                    <w:rPr>
                      <w:rFonts w:hint="eastAsia"/>
                      <w:color w:val="000000"/>
                      <w:szCs w:val="21"/>
                    </w:rPr>
                    <w:t>7</w:t>
                  </w:r>
                </w:p>
              </w:tc>
              <w:tc>
                <w:tcPr>
                  <w:tcW w:w="429" w:type="pct"/>
                  <w:vMerge w:val="continue"/>
                  <w:vAlign w:val="center"/>
                </w:tcPr>
                <w:p w14:paraId="7B5838CF">
                  <w:pPr>
                    <w:widowControl/>
                    <w:adjustRightInd w:val="0"/>
                    <w:snapToGrid w:val="0"/>
                    <w:jc w:val="center"/>
                    <w:rPr>
                      <w:color w:val="000000"/>
                      <w:kern w:val="0"/>
                      <w:szCs w:val="21"/>
                    </w:rPr>
                  </w:pPr>
                </w:p>
              </w:tc>
              <w:tc>
                <w:tcPr>
                  <w:tcW w:w="1096" w:type="pct"/>
                  <w:vAlign w:val="center"/>
                </w:tcPr>
                <w:p w14:paraId="028866D9">
                  <w:pPr>
                    <w:widowControl/>
                    <w:adjustRightInd w:val="0"/>
                    <w:snapToGrid w:val="0"/>
                    <w:jc w:val="center"/>
                    <w:rPr>
                      <w:color w:val="000000"/>
                      <w:kern w:val="0"/>
                      <w:szCs w:val="21"/>
                    </w:rPr>
                  </w:pPr>
                  <w:r>
                    <w:rPr>
                      <w:rFonts w:hint="eastAsia"/>
                      <w:color w:val="000000"/>
                      <w:kern w:val="0"/>
                      <w:szCs w:val="21"/>
                    </w:rPr>
                    <w:t>砂计量称（点动补料专利技术）</w:t>
                  </w:r>
                </w:p>
              </w:tc>
              <w:tc>
                <w:tcPr>
                  <w:tcW w:w="2584" w:type="pct"/>
                  <w:vAlign w:val="center"/>
                </w:tcPr>
                <w:p w14:paraId="45DE39DF">
                  <w:pPr>
                    <w:adjustRightInd w:val="0"/>
                    <w:snapToGrid w:val="0"/>
                    <w:jc w:val="center"/>
                    <w:rPr>
                      <w:color w:val="000000"/>
                      <w:kern w:val="0"/>
                      <w:szCs w:val="21"/>
                    </w:rPr>
                  </w:pPr>
                  <w:r>
                    <w:rPr>
                      <w:rFonts w:hint="eastAsia"/>
                      <w:color w:val="000000"/>
                      <w:kern w:val="0"/>
                      <w:szCs w:val="21"/>
                    </w:rPr>
                    <w:t>抗干扰计量斗有效容积6000kg，传感器2000kg，振动器MVE100/3</w:t>
                  </w:r>
                </w:p>
              </w:tc>
              <w:tc>
                <w:tcPr>
                  <w:tcW w:w="450" w:type="pct"/>
                  <w:vAlign w:val="center"/>
                </w:tcPr>
                <w:p w14:paraId="795EEBD7">
                  <w:pPr>
                    <w:adjustRightInd w:val="0"/>
                    <w:snapToGrid w:val="0"/>
                    <w:jc w:val="center"/>
                    <w:rPr>
                      <w:color w:val="000000"/>
                      <w:szCs w:val="21"/>
                    </w:rPr>
                  </w:pPr>
                  <w:r>
                    <w:rPr>
                      <w:color w:val="000000"/>
                      <w:szCs w:val="21"/>
                    </w:rPr>
                    <w:t>2</w:t>
                  </w:r>
                  <w:r>
                    <w:rPr>
                      <w:rFonts w:hint="eastAsia"/>
                      <w:color w:val="000000"/>
                      <w:szCs w:val="21"/>
                    </w:rPr>
                    <w:t>套</w:t>
                  </w:r>
                </w:p>
              </w:tc>
            </w:tr>
            <w:tr w14:paraId="4B109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6185C9EE">
                  <w:pPr>
                    <w:adjustRightInd w:val="0"/>
                    <w:snapToGrid w:val="0"/>
                    <w:jc w:val="center"/>
                    <w:rPr>
                      <w:color w:val="000000"/>
                      <w:szCs w:val="21"/>
                    </w:rPr>
                  </w:pPr>
                  <w:r>
                    <w:rPr>
                      <w:rFonts w:hint="eastAsia"/>
                      <w:color w:val="000000"/>
                      <w:szCs w:val="21"/>
                    </w:rPr>
                    <w:t>8</w:t>
                  </w:r>
                </w:p>
              </w:tc>
              <w:tc>
                <w:tcPr>
                  <w:tcW w:w="429" w:type="pct"/>
                  <w:vMerge w:val="continue"/>
                  <w:vAlign w:val="center"/>
                </w:tcPr>
                <w:p w14:paraId="64A0931D">
                  <w:pPr>
                    <w:widowControl/>
                    <w:adjustRightInd w:val="0"/>
                    <w:snapToGrid w:val="0"/>
                    <w:jc w:val="center"/>
                    <w:rPr>
                      <w:color w:val="000000"/>
                      <w:kern w:val="0"/>
                      <w:szCs w:val="21"/>
                    </w:rPr>
                  </w:pPr>
                </w:p>
              </w:tc>
              <w:tc>
                <w:tcPr>
                  <w:tcW w:w="1096" w:type="pct"/>
                  <w:vAlign w:val="center"/>
                </w:tcPr>
                <w:p w14:paraId="7F38AFB3">
                  <w:pPr>
                    <w:widowControl/>
                    <w:adjustRightInd w:val="0"/>
                    <w:snapToGrid w:val="0"/>
                    <w:jc w:val="center"/>
                    <w:rPr>
                      <w:color w:val="000000"/>
                      <w:kern w:val="0"/>
                      <w:szCs w:val="21"/>
                    </w:rPr>
                  </w:pPr>
                  <w:r>
                    <w:rPr>
                      <w:rFonts w:hint="eastAsia"/>
                      <w:color w:val="000000"/>
                      <w:kern w:val="0"/>
                      <w:szCs w:val="21"/>
                    </w:rPr>
                    <w:t>砂库出料除尘器</w:t>
                  </w:r>
                </w:p>
              </w:tc>
              <w:tc>
                <w:tcPr>
                  <w:tcW w:w="2584" w:type="pct"/>
                  <w:vAlign w:val="center"/>
                </w:tcPr>
                <w:p w14:paraId="3CB96302">
                  <w:pPr>
                    <w:adjustRightInd w:val="0"/>
                    <w:snapToGrid w:val="0"/>
                    <w:jc w:val="center"/>
                    <w:rPr>
                      <w:color w:val="000000"/>
                      <w:kern w:val="0"/>
                      <w:szCs w:val="21"/>
                    </w:rPr>
                  </w:pPr>
                  <w:r>
                    <w:rPr>
                      <w:rFonts w:hint="eastAsia"/>
                      <w:color w:val="000000"/>
                      <w:szCs w:val="21"/>
                    </w:rPr>
                    <w:t>布袋除尘器，处理风量：21000m</w:t>
                  </w:r>
                  <w:r>
                    <w:rPr>
                      <w:rFonts w:hint="eastAsia"/>
                      <w:color w:val="000000"/>
                      <w:szCs w:val="21"/>
                      <w:vertAlign w:val="superscript"/>
                    </w:rPr>
                    <w:t>3</w:t>
                  </w:r>
                  <w:r>
                    <w:rPr>
                      <w:rFonts w:hint="eastAsia"/>
                      <w:color w:val="000000"/>
                      <w:szCs w:val="21"/>
                    </w:rPr>
                    <w:t>/h</w:t>
                  </w:r>
                </w:p>
              </w:tc>
              <w:tc>
                <w:tcPr>
                  <w:tcW w:w="450" w:type="pct"/>
                  <w:vAlign w:val="center"/>
                </w:tcPr>
                <w:p w14:paraId="2F181CAB">
                  <w:pPr>
                    <w:adjustRightInd w:val="0"/>
                    <w:snapToGrid w:val="0"/>
                    <w:jc w:val="center"/>
                    <w:rPr>
                      <w:color w:val="000000"/>
                      <w:szCs w:val="21"/>
                    </w:rPr>
                  </w:pPr>
                  <w:r>
                    <w:rPr>
                      <w:color w:val="000000"/>
                      <w:szCs w:val="21"/>
                    </w:rPr>
                    <w:t>1</w:t>
                  </w:r>
                  <w:r>
                    <w:rPr>
                      <w:rFonts w:hint="eastAsia"/>
                      <w:color w:val="000000"/>
                      <w:szCs w:val="21"/>
                    </w:rPr>
                    <w:t>套</w:t>
                  </w:r>
                </w:p>
              </w:tc>
            </w:tr>
            <w:tr w14:paraId="24CE3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5679DA08">
                  <w:pPr>
                    <w:adjustRightInd w:val="0"/>
                    <w:snapToGrid w:val="0"/>
                    <w:jc w:val="center"/>
                    <w:rPr>
                      <w:color w:val="000000"/>
                      <w:szCs w:val="21"/>
                    </w:rPr>
                  </w:pPr>
                  <w:r>
                    <w:rPr>
                      <w:rFonts w:hint="eastAsia"/>
                      <w:color w:val="000000"/>
                      <w:szCs w:val="21"/>
                    </w:rPr>
                    <w:t>9</w:t>
                  </w:r>
                </w:p>
              </w:tc>
              <w:tc>
                <w:tcPr>
                  <w:tcW w:w="429" w:type="pct"/>
                  <w:vMerge w:val="continue"/>
                  <w:vAlign w:val="center"/>
                </w:tcPr>
                <w:p w14:paraId="1BAE5500">
                  <w:pPr>
                    <w:widowControl/>
                    <w:adjustRightInd w:val="0"/>
                    <w:snapToGrid w:val="0"/>
                    <w:jc w:val="center"/>
                    <w:rPr>
                      <w:color w:val="000000"/>
                      <w:kern w:val="0"/>
                      <w:szCs w:val="21"/>
                    </w:rPr>
                  </w:pPr>
                </w:p>
              </w:tc>
              <w:tc>
                <w:tcPr>
                  <w:tcW w:w="1096" w:type="pct"/>
                  <w:vAlign w:val="center"/>
                </w:tcPr>
                <w:p w14:paraId="09FFB0A7">
                  <w:pPr>
                    <w:widowControl/>
                    <w:adjustRightInd w:val="0"/>
                    <w:snapToGrid w:val="0"/>
                    <w:jc w:val="center"/>
                    <w:rPr>
                      <w:color w:val="000000"/>
                      <w:kern w:val="0"/>
                      <w:szCs w:val="21"/>
                    </w:rPr>
                  </w:pPr>
                  <w:r>
                    <w:rPr>
                      <w:rFonts w:hint="eastAsia"/>
                      <w:color w:val="000000"/>
                      <w:kern w:val="0"/>
                      <w:szCs w:val="21"/>
                    </w:rPr>
                    <w:t>主楼除尘器</w:t>
                  </w:r>
                </w:p>
              </w:tc>
              <w:tc>
                <w:tcPr>
                  <w:tcW w:w="2584" w:type="pct"/>
                  <w:vAlign w:val="center"/>
                </w:tcPr>
                <w:p w14:paraId="3128AD5E">
                  <w:pPr>
                    <w:adjustRightInd w:val="0"/>
                    <w:snapToGrid w:val="0"/>
                    <w:jc w:val="center"/>
                    <w:rPr>
                      <w:color w:val="000000"/>
                      <w:kern w:val="0"/>
                      <w:szCs w:val="21"/>
                    </w:rPr>
                  </w:pPr>
                  <w:r>
                    <w:rPr>
                      <w:rFonts w:hint="eastAsia"/>
                      <w:color w:val="000000"/>
                      <w:szCs w:val="21"/>
                    </w:rPr>
                    <w:t>布袋除尘器，处理风量：</w:t>
                  </w:r>
                  <w:r>
                    <w:rPr>
                      <w:color w:val="000000"/>
                      <w:szCs w:val="21"/>
                    </w:rPr>
                    <w:t>4320-8640</w:t>
                  </w:r>
                  <w:r>
                    <w:rPr>
                      <w:rFonts w:hint="eastAsia"/>
                      <w:color w:val="000000"/>
                      <w:szCs w:val="21"/>
                    </w:rPr>
                    <w:t>m</w:t>
                  </w:r>
                  <w:r>
                    <w:rPr>
                      <w:rFonts w:hint="eastAsia"/>
                      <w:color w:val="000000"/>
                      <w:szCs w:val="21"/>
                      <w:vertAlign w:val="superscript"/>
                    </w:rPr>
                    <w:t>3</w:t>
                  </w:r>
                  <w:r>
                    <w:rPr>
                      <w:rFonts w:hint="eastAsia"/>
                      <w:color w:val="000000"/>
                      <w:szCs w:val="21"/>
                    </w:rPr>
                    <w:t>/h，P=</w:t>
                  </w:r>
                  <w:r>
                    <w:rPr>
                      <w:color w:val="000000"/>
                      <w:szCs w:val="21"/>
                    </w:rPr>
                    <w:t>5.5</w:t>
                  </w:r>
                  <w:r>
                    <w:rPr>
                      <w:rFonts w:hint="eastAsia"/>
                      <w:color w:val="000000"/>
                      <w:szCs w:val="21"/>
                    </w:rPr>
                    <w:t>KW</w:t>
                  </w:r>
                </w:p>
              </w:tc>
              <w:tc>
                <w:tcPr>
                  <w:tcW w:w="450" w:type="pct"/>
                  <w:vAlign w:val="center"/>
                </w:tcPr>
                <w:p w14:paraId="008FB98E">
                  <w:pPr>
                    <w:adjustRightInd w:val="0"/>
                    <w:snapToGrid w:val="0"/>
                    <w:jc w:val="center"/>
                    <w:rPr>
                      <w:color w:val="000000"/>
                      <w:szCs w:val="21"/>
                    </w:rPr>
                  </w:pPr>
                  <w:r>
                    <w:rPr>
                      <w:color w:val="000000"/>
                      <w:szCs w:val="21"/>
                    </w:rPr>
                    <w:t>1</w:t>
                  </w:r>
                  <w:r>
                    <w:rPr>
                      <w:rFonts w:hint="eastAsia"/>
                      <w:color w:val="000000"/>
                      <w:szCs w:val="21"/>
                    </w:rPr>
                    <w:t>套</w:t>
                  </w:r>
                </w:p>
              </w:tc>
            </w:tr>
            <w:tr w14:paraId="5B172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1735EF0C">
                  <w:pPr>
                    <w:adjustRightInd w:val="0"/>
                    <w:snapToGrid w:val="0"/>
                    <w:jc w:val="center"/>
                    <w:rPr>
                      <w:color w:val="000000"/>
                      <w:szCs w:val="21"/>
                    </w:rPr>
                  </w:pPr>
                  <w:r>
                    <w:rPr>
                      <w:rFonts w:hint="eastAsia"/>
                      <w:color w:val="000000"/>
                      <w:szCs w:val="21"/>
                    </w:rPr>
                    <w:t>10</w:t>
                  </w:r>
                </w:p>
              </w:tc>
              <w:tc>
                <w:tcPr>
                  <w:tcW w:w="429" w:type="pct"/>
                  <w:vMerge w:val="restart"/>
                  <w:vAlign w:val="center"/>
                </w:tcPr>
                <w:p w14:paraId="0B205247">
                  <w:pPr>
                    <w:widowControl/>
                    <w:adjustRightInd w:val="0"/>
                    <w:snapToGrid w:val="0"/>
                    <w:jc w:val="center"/>
                    <w:rPr>
                      <w:color w:val="000000"/>
                      <w:kern w:val="0"/>
                      <w:szCs w:val="21"/>
                    </w:rPr>
                  </w:pPr>
                  <w:r>
                    <w:rPr>
                      <w:rFonts w:hint="eastAsia"/>
                      <w:color w:val="000000"/>
                      <w:kern w:val="0"/>
                      <w:szCs w:val="21"/>
                    </w:rPr>
                    <w:t>搅拌系统</w:t>
                  </w:r>
                </w:p>
              </w:tc>
              <w:tc>
                <w:tcPr>
                  <w:tcW w:w="1096" w:type="pct"/>
                  <w:vAlign w:val="center"/>
                </w:tcPr>
                <w:p w14:paraId="72011E62">
                  <w:pPr>
                    <w:widowControl/>
                    <w:adjustRightInd w:val="0"/>
                    <w:snapToGrid w:val="0"/>
                    <w:jc w:val="center"/>
                    <w:rPr>
                      <w:color w:val="000000"/>
                      <w:kern w:val="0"/>
                      <w:szCs w:val="21"/>
                    </w:rPr>
                  </w:pPr>
                  <w:r>
                    <w:rPr>
                      <w:rFonts w:hint="eastAsia"/>
                      <w:color w:val="000000"/>
                      <w:kern w:val="0"/>
                      <w:szCs w:val="21"/>
                    </w:rPr>
                    <w:t>搅拌机</w:t>
                  </w:r>
                </w:p>
              </w:tc>
              <w:tc>
                <w:tcPr>
                  <w:tcW w:w="2584" w:type="pct"/>
                  <w:vAlign w:val="center"/>
                </w:tcPr>
                <w:p w14:paraId="2FF77AB8">
                  <w:pPr>
                    <w:adjustRightInd w:val="0"/>
                    <w:snapToGrid w:val="0"/>
                    <w:jc w:val="center"/>
                    <w:rPr>
                      <w:color w:val="000000"/>
                      <w:kern w:val="0"/>
                      <w:szCs w:val="21"/>
                    </w:rPr>
                  </w:pPr>
                  <w:r>
                    <w:rPr>
                      <w:rFonts w:hint="eastAsia"/>
                      <w:color w:val="000000"/>
                      <w:kern w:val="0"/>
                      <w:szCs w:val="21"/>
                    </w:rPr>
                    <w:t>SW6000型双桨无重力双轴搅拌机，设计容积6</w:t>
                  </w:r>
                  <w:r>
                    <w:rPr>
                      <w:color w:val="000000"/>
                      <w:kern w:val="0"/>
                      <w:szCs w:val="21"/>
                    </w:rPr>
                    <w:t>000</w:t>
                  </w:r>
                  <w:r>
                    <w:rPr>
                      <w:rFonts w:hint="eastAsia"/>
                      <w:color w:val="000000"/>
                      <w:kern w:val="0"/>
                      <w:szCs w:val="21"/>
                    </w:rPr>
                    <w:t>L，有效容积4</w:t>
                  </w:r>
                  <w:r>
                    <w:rPr>
                      <w:color w:val="000000"/>
                      <w:kern w:val="0"/>
                      <w:szCs w:val="21"/>
                    </w:rPr>
                    <w:t>200-4500</w:t>
                  </w:r>
                  <w:r>
                    <w:rPr>
                      <w:rFonts w:hint="eastAsia"/>
                      <w:color w:val="000000"/>
                      <w:kern w:val="0"/>
                      <w:szCs w:val="21"/>
                    </w:rPr>
                    <w:t>L，整机功率P=</w:t>
                  </w:r>
                  <w:r>
                    <w:rPr>
                      <w:color w:val="000000"/>
                      <w:szCs w:val="21"/>
                    </w:rPr>
                    <w:t>45</w:t>
                  </w:r>
                  <w:r>
                    <w:rPr>
                      <w:rFonts w:hint="eastAsia"/>
                      <w:color w:val="000000"/>
                      <w:szCs w:val="21"/>
                    </w:rPr>
                    <w:t>KW</w:t>
                  </w:r>
                  <w:r>
                    <w:rPr>
                      <w:color w:val="000000"/>
                      <w:szCs w:val="21"/>
                    </w:rPr>
                    <w:t>*2</w:t>
                  </w:r>
                </w:p>
              </w:tc>
              <w:tc>
                <w:tcPr>
                  <w:tcW w:w="450" w:type="pct"/>
                  <w:vAlign w:val="center"/>
                </w:tcPr>
                <w:p w14:paraId="442BB04C">
                  <w:pPr>
                    <w:adjustRightInd w:val="0"/>
                    <w:snapToGrid w:val="0"/>
                    <w:jc w:val="center"/>
                    <w:rPr>
                      <w:color w:val="000000"/>
                      <w:szCs w:val="21"/>
                    </w:rPr>
                  </w:pPr>
                  <w:r>
                    <w:rPr>
                      <w:color w:val="000000"/>
                      <w:szCs w:val="21"/>
                    </w:rPr>
                    <w:t>1</w:t>
                  </w:r>
                  <w:r>
                    <w:rPr>
                      <w:rFonts w:hint="eastAsia"/>
                      <w:color w:val="000000"/>
                      <w:szCs w:val="21"/>
                    </w:rPr>
                    <w:t>套</w:t>
                  </w:r>
                </w:p>
              </w:tc>
            </w:tr>
            <w:tr w14:paraId="0422E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22B60C45">
                  <w:pPr>
                    <w:adjustRightInd w:val="0"/>
                    <w:snapToGrid w:val="0"/>
                    <w:jc w:val="center"/>
                    <w:rPr>
                      <w:color w:val="000000"/>
                      <w:szCs w:val="21"/>
                    </w:rPr>
                  </w:pPr>
                  <w:r>
                    <w:rPr>
                      <w:rFonts w:hint="eastAsia"/>
                      <w:color w:val="000000"/>
                      <w:szCs w:val="21"/>
                    </w:rPr>
                    <w:t>11</w:t>
                  </w:r>
                </w:p>
              </w:tc>
              <w:tc>
                <w:tcPr>
                  <w:tcW w:w="429" w:type="pct"/>
                  <w:vMerge w:val="continue"/>
                  <w:vAlign w:val="center"/>
                </w:tcPr>
                <w:p w14:paraId="3D018616">
                  <w:pPr>
                    <w:widowControl/>
                    <w:adjustRightInd w:val="0"/>
                    <w:snapToGrid w:val="0"/>
                    <w:jc w:val="center"/>
                    <w:rPr>
                      <w:color w:val="000000"/>
                      <w:kern w:val="0"/>
                      <w:szCs w:val="21"/>
                    </w:rPr>
                  </w:pPr>
                </w:p>
              </w:tc>
              <w:tc>
                <w:tcPr>
                  <w:tcW w:w="1096" w:type="pct"/>
                  <w:vAlign w:val="center"/>
                </w:tcPr>
                <w:p w14:paraId="7E81DDB8">
                  <w:pPr>
                    <w:widowControl/>
                    <w:adjustRightInd w:val="0"/>
                    <w:snapToGrid w:val="0"/>
                    <w:jc w:val="center"/>
                    <w:rPr>
                      <w:color w:val="000000"/>
                      <w:kern w:val="0"/>
                      <w:szCs w:val="21"/>
                    </w:rPr>
                  </w:pPr>
                  <w:r>
                    <w:rPr>
                      <w:rFonts w:hint="eastAsia"/>
                      <w:color w:val="000000"/>
                      <w:kern w:val="0"/>
                      <w:szCs w:val="21"/>
                    </w:rPr>
                    <w:t>外加剂斗</w:t>
                  </w:r>
                </w:p>
              </w:tc>
              <w:tc>
                <w:tcPr>
                  <w:tcW w:w="2584" w:type="pct"/>
                  <w:vAlign w:val="center"/>
                </w:tcPr>
                <w:p w14:paraId="5723D2FB">
                  <w:pPr>
                    <w:adjustRightInd w:val="0"/>
                    <w:snapToGrid w:val="0"/>
                    <w:jc w:val="center"/>
                    <w:rPr>
                      <w:color w:val="000000"/>
                      <w:kern w:val="0"/>
                      <w:szCs w:val="21"/>
                    </w:rPr>
                  </w:pPr>
                  <w:r>
                    <w:rPr>
                      <w:rFonts w:hint="eastAsia"/>
                      <w:color w:val="000000"/>
                      <w:kern w:val="0"/>
                      <w:szCs w:val="21"/>
                    </w:rPr>
                    <w:t>斗体容积0.02mm</w:t>
                  </w:r>
                  <w:r>
                    <w:rPr>
                      <w:color w:val="000000"/>
                      <w:kern w:val="0"/>
                      <w:szCs w:val="21"/>
                      <w:vertAlign w:val="superscript"/>
                    </w:rPr>
                    <w:t>3</w:t>
                  </w:r>
                  <w:r>
                    <w:rPr>
                      <w:rFonts w:hint="eastAsia"/>
                      <w:color w:val="000000"/>
                      <w:kern w:val="0"/>
                      <w:szCs w:val="21"/>
                    </w:rPr>
                    <w:t>，卸料蝶阀DN200</w:t>
                  </w:r>
                </w:p>
              </w:tc>
              <w:tc>
                <w:tcPr>
                  <w:tcW w:w="450" w:type="pct"/>
                  <w:vAlign w:val="center"/>
                </w:tcPr>
                <w:p w14:paraId="1461B9D5">
                  <w:pPr>
                    <w:adjustRightInd w:val="0"/>
                    <w:snapToGrid w:val="0"/>
                    <w:jc w:val="center"/>
                    <w:rPr>
                      <w:color w:val="000000"/>
                      <w:szCs w:val="21"/>
                    </w:rPr>
                  </w:pPr>
                  <w:r>
                    <w:rPr>
                      <w:color w:val="000000"/>
                      <w:szCs w:val="21"/>
                    </w:rPr>
                    <w:t>1</w:t>
                  </w:r>
                  <w:r>
                    <w:rPr>
                      <w:rFonts w:hint="eastAsia"/>
                      <w:color w:val="000000"/>
                      <w:szCs w:val="21"/>
                    </w:rPr>
                    <w:t>套</w:t>
                  </w:r>
                </w:p>
              </w:tc>
            </w:tr>
            <w:tr w14:paraId="03A50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4928D315">
                  <w:pPr>
                    <w:adjustRightInd w:val="0"/>
                    <w:snapToGrid w:val="0"/>
                    <w:jc w:val="center"/>
                    <w:rPr>
                      <w:color w:val="000000"/>
                      <w:szCs w:val="21"/>
                    </w:rPr>
                  </w:pPr>
                  <w:r>
                    <w:rPr>
                      <w:rFonts w:hint="eastAsia"/>
                      <w:color w:val="000000"/>
                      <w:szCs w:val="21"/>
                    </w:rPr>
                    <w:t>12</w:t>
                  </w:r>
                </w:p>
              </w:tc>
              <w:tc>
                <w:tcPr>
                  <w:tcW w:w="429" w:type="pct"/>
                  <w:vMerge w:val="continue"/>
                  <w:vAlign w:val="center"/>
                </w:tcPr>
                <w:p w14:paraId="3E369D41">
                  <w:pPr>
                    <w:widowControl/>
                    <w:adjustRightInd w:val="0"/>
                    <w:snapToGrid w:val="0"/>
                    <w:jc w:val="center"/>
                    <w:rPr>
                      <w:color w:val="000000"/>
                      <w:kern w:val="0"/>
                      <w:szCs w:val="21"/>
                    </w:rPr>
                  </w:pPr>
                </w:p>
              </w:tc>
              <w:tc>
                <w:tcPr>
                  <w:tcW w:w="1096" w:type="pct"/>
                  <w:vAlign w:val="center"/>
                </w:tcPr>
                <w:p w14:paraId="503B8B2C">
                  <w:pPr>
                    <w:widowControl/>
                    <w:adjustRightInd w:val="0"/>
                    <w:snapToGrid w:val="0"/>
                    <w:jc w:val="center"/>
                    <w:rPr>
                      <w:color w:val="000000"/>
                      <w:kern w:val="0"/>
                      <w:szCs w:val="21"/>
                    </w:rPr>
                  </w:pPr>
                  <w:r>
                    <w:rPr>
                      <w:rFonts w:hint="eastAsia"/>
                      <w:color w:val="000000"/>
                      <w:kern w:val="0"/>
                      <w:szCs w:val="21"/>
                    </w:rPr>
                    <w:t>气动三通调节器</w:t>
                  </w:r>
                </w:p>
              </w:tc>
              <w:tc>
                <w:tcPr>
                  <w:tcW w:w="2584" w:type="pct"/>
                  <w:vAlign w:val="center"/>
                </w:tcPr>
                <w:p w14:paraId="1756F88B">
                  <w:pPr>
                    <w:adjustRightInd w:val="0"/>
                    <w:snapToGrid w:val="0"/>
                    <w:jc w:val="center"/>
                    <w:rPr>
                      <w:color w:val="000000"/>
                      <w:kern w:val="0"/>
                      <w:szCs w:val="21"/>
                    </w:rPr>
                  </w:pPr>
                  <w:r>
                    <w:rPr>
                      <w:rFonts w:hint="eastAsia"/>
                      <w:color w:val="000000"/>
                      <w:kern w:val="0"/>
                      <w:szCs w:val="21"/>
                    </w:rPr>
                    <w:t>防堆料锥体设计双气缸驱动系统三点卸料指示限位器</w:t>
                  </w:r>
                </w:p>
              </w:tc>
              <w:tc>
                <w:tcPr>
                  <w:tcW w:w="450" w:type="pct"/>
                  <w:vAlign w:val="center"/>
                </w:tcPr>
                <w:p w14:paraId="7E89B300">
                  <w:pPr>
                    <w:adjustRightInd w:val="0"/>
                    <w:snapToGrid w:val="0"/>
                    <w:jc w:val="center"/>
                    <w:rPr>
                      <w:color w:val="000000"/>
                      <w:szCs w:val="21"/>
                    </w:rPr>
                  </w:pPr>
                  <w:r>
                    <w:rPr>
                      <w:color w:val="000000"/>
                      <w:szCs w:val="21"/>
                    </w:rPr>
                    <w:t>1</w:t>
                  </w:r>
                  <w:r>
                    <w:rPr>
                      <w:rFonts w:hint="eastAsia"/>
                      <w:color w:val="000000"/>
                      <w:szCs w:val="21"/>
                    </w:rPr>
                    <w:t>套</w:t>
                  </w:r>
                </w:p>
              </w:tc>
            </w:tr>
            <w:tr w14:paraId="113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6CA20C9B">
                  <w:pPr>
                    <w:adjustRightInd w:val="0"/>
                    <w:snapToGrid w:val="0"/>
                    <w:jc w:val="center"/>
                    <w:rPr>
                      <w:color w:val="000000"/>
                      <w:szCs w:val="21"/>
                    </w:rPr>
                  </w:pPr>
                  <w:r>
                    <w:rPr>
                      <w:rFonts w:hint="eastAsia"/>
                      <w:color w:val="000000"/>
                      <w:szCs w:val="21"/>
                    </w:rPr>
                    <w:t>13</w:t>
                  </w:r>
                </w:p>
              </w:tc>
              <w:tc>
                <w:tcPr>
                  <w:tcW w:w="429" w:type="pct"/>
                  <w:vMerge w:val="continue"/>
                  <w:vAlign w:val="center"/>
                </w:tcPr>
                <w:p w14:paraId="1FCA76F8">
                  <w:pPr>
                    <w:widowControl/>
                    <w:adjustRightInd w:val="0"/>
                    <w:snapToGrid w:val="0"/>
                    <w:jc w:val="center"/>
                    <w:rPr>
                      <w:color w:val="000000"/>
                      <w:kern w:val="0"/>
                      <w:szCs w:val="21"/>
                    </w:rPr>
                  </w:pPr>
                </w:p>
              </w:tc>
              <w:tc>
                <w:tcPr>
                  <w:tcW w:w="1096" w:type="pct"/>
                  <w:vAlign w:val="center"/>
                </w:tcPr>
                <w:p w14:paraId="3542C7DC">
                  <w:pPr>
                    <w:widowControl/>
                    <w:adjustRightInd w:val="0"/>
                    <w:snapToGrid w:val="0"/>
                    <w:jc w:val="center"/>
                    <w:rPr>
                      <w:color w:val="000000"/>
                      <w:kern w:val="0"/>
                      <w:szCs w:val="21"/>
                    </w:rPr>
                  </w:pPr>
                  <w:r>
                    <w:rPr>
                      <w:rFonts w:hint="eastAsia"/>
                      <w:color w:val="000000"/>
                      <w:kern w:val="0"/>
                      <w:szCs w:val="21"/>
                    </w:rPr>
                    <w:t>散装卸料头</w:t>
                  </w:r>
                </w:p>
              </w:tc>
              <w:tc>
                <w:tcPr>
                  <w:tcW w:w="2584" w:type="pct"/>
                  <w:vAlign w:val="center"/>
                </w:tcPr>
                <w:p w14:paraId="5DFA0C80">
                  <w:pPr>
                    <w:adjustRightInd w:val="0"/>
                    <w:snapToGrid w:val="0"/>
                    <w:jc w:val="center"/>
                    <w:rPr>
                      <w:color w:val="000000"/>
                      <w:kern w:val="0"/>
                      <w:szCs w:val="21"/>
                    </w:rPr>
                  </w:pPr>
                  <w:r>
                    <w:rPr>
                      <w:rFonts w:hint="eastAsia"/>
                      <w:color w:val="000000"/>
                      <w:kern w:val="0"/>
                      <w:szCs w:val="21"/>
                    </w:rPr>
                    <w:t>BLM高效无尘散装机</w:t>
                  </w:r>
                </w:p>
              </w:tc>
              <w:tc>
                <w:tcPr>
                  <w:tcW w:w="450" w:type="pct"/>
                  <w:vAlign w:val="center"/>
                </w:tcPr>
                <w:p w14:paraId="5CBE7293">
                  <w:pPr>
                    <w:adjustRightInd w:val="0"/>
                    <w:snapToGrid w:val="0"/>
                    <w:jc w:val="center"/>
                    <w:rPr>
                      <w:color w:val="000000"/>
                      <w:szCs w:val="21"/>
                    </w:rPr>
                  </w:pPr>
                  <w:r>
                    <w:rPr>
                      <w:color w:val="000000"/>
                      <w:szCs w:val="21"/>
                    </w:rPr>
                    <w:t>1</w:t>
                  </w:r>
                  <w:r>
                    <w:rPr>
                      <w:rFonts w:hint="eastAsia"/>
                      <w:color w:val="000000"/>
                      <w:szCs w:val="21"/>
                    </w:rPr>
                    <w:t>套</w:t>
                  </w:r>
                </w:p>
              </w:tc>
            </w:tr>
            <w:tr w14:paraId="06A79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1F912769">
                  <w:pPr>
                    <w:adjustRightInd w:val="0"/>
                    <w:snapToGrid w:val="0"/>
                    <w:jc w:val="center"/>
                    <w:rPr>
                      <w:color w:val="000000"/>
                      <w:szCs w:val="21"/>
                    </w:rPr>
                  </w:pPr>
                  <w:r>
                    <w:rPr>
                      <w:rFonts w:hint="eastAsia"/>
                      <w:color w:val="000000"/>
                      <w:szCs w:val="21"/>
                    </w:rPr>
                    <w:t>14</w:t>
                  </w:r>
                </w:p>
              </w:tc>
              <w:tc>
                <w:tcPr>
                  <w:tcW w:w="429" w:type="pct"/>
                  <w:vMerge w:val="continue"/>
                  <w:vAlign w:val="center"/>
                </w:tcPr>
                <w:p w14:paraId="1EA1AFD4">
                  <w:pPr>
                    <w:widowControl/>
                    <w:adjustRightInd w:val="0"/>
                    <w:snapToGrid w:val="0"/>
                    <w:jc w:val="center"/>
                    <w:rPr>
                      <w:color w:val="000000"/>
                      <w:kern w:val="0"/>
                      <w:szCs w:val="21"/>
                    </w:rPr>
                  </w:pPr>
                </w:p>
              </w:tc>
              <w:tc>
                <w:tcPr>
                  <w:tcW w:w="1096" w:type="pct"/>
                  <w:vAlign w:val="center"/>
                </w:tcPr>
                <w:p w14:paraId="3BE312D6">
                  <w:pPr>
                    <w:widowControl/>
                    <w:adjustRightInd w:val="0"/>
                    <w:snapToGrid w:val="0"/>
                    <w:jc w:val="center"/>
                    <w:rPr>
                      <w:color w:val="000000"/>
                      <w:kern w:val="0"/>
                      <w:szCs w:val="21"/>
                    </w:rPr>
                  </w:pPr>
                  <w:r>
                    <w:rPr>
                      <w:rFonts w:hint="eastAsia"/>
                      <w:color w:val="000000"/>
                      <w:kern w:val="0"/>
                      <w:szCs w:val="21"/>
                    </w:rPr>
                    <w:t>主楼散装卸料除尘器</w:t>
                  </w:r>
                </w:p>
              </w:tc>
              <w:tc>
                <w:tcPr>
                  <w:tcW w:w="2584" w:type="pct"/>
                  <w:vAlign w:val="center"/>
                </w:tcPr>
                <w:p w14:paraId="115665C6">
                  <w:pPr>
                    <w:adjustRightInd w:val="0"/>
                    <w:snapToGrid w:val="0"/>
                    <w:jc w:val="center"/>
                    <w:rPr>
                      <w:color w:val="000000"/>
                      <w:kern w:val="0"/>
                      <w:szCs w:val="21"/>
                    </w:rPr>
                  </w:pPr>
                  <w:r>
                    <w:rPr>
                      <w:rFonts w:hint="eastAsia"/>
                      <w:color w:val="000000"/>
                      <w:szCs w:val="21"/>
                    </w:rPr>
                    <w:t>布袋除尘器，处理风量：</w:t>
                  </w:r>
                  <w:r>
                    <w:rPr>
                      <w:color w:val="000000"/>
                      <w:szCs w:val="21"/>
                    </w:rPr>
                    <w:t>2160-4320</w:t>
                  </w:r>
                  <w:r>
                    <w:rPr>
                      <w:rFonts w:hint="eastAsia"/>
                      <w:color w:val="000000"/>
                      <w:szCs w:val="21"/>
                    </w:rPr>
                    <w:t>m</w:t>
                  </w:r>
                  <w:r>
                    <w:rPr>
                      <w:rFonts w:hint="eastAsia"/>
                      <w:color w:val="000000"/>
                      <w:szCs w:val="21"/>
                      <w:vertAlign w:val="superscript"/>
                    </w:rPr>
                    <w:t>3</w:t>
                  </w:r>
                  <w:r>
                    <w:rPr>
                      <w:rFonts w:hint="eastAsia"/>
                      <w:color w:val="000000"/>
                      <w:szCs w:val="21"/>
                    </w:rPr>
                    <w:t>/h，P=</w:t>
                  </w:r>
                  <w:r>
                    <w:rPr>
                      <w:color w:val="000000"/>
                      <w:szCs w:val="21"/>
                    </w:rPr>
                    <w:t>3</w:t>
                  </w:r>
                  <w:r>
                    <w:rPr>
                      <w:rFonts w:hint="eastAsia"/>
                      <w:color w:val="000000"/>
                      <w:szCs w:val="21"/>
                    </w:rPr>
                    <w:t>KW</w:t>
                  </w:r>
                </w:p>
              </w:tc>
              <w:tc>
                <w:tcPr>
                  <w:tcW w:w="450" w:type="pct"/>
                  <w:vAlign w:val="center"/>
                </w:tcPr>
                <w:p w14:paraId="3A8B2217">
                  <w:pPr>
                    <w:adjustRightInd w:val="0"/>
                    <w:snapToGrid w:val="0"/>
                    <w:jc w:val="center"/>
                    <w:rPr>
                      <w:color w:val="000000"/>
                      <w:szCs w:val="21"/>
                    </w:rPr>
                  </w:pPr>
                  <w:r>
                    <w:rPr>
                      <w:rFonts w:hint="eastAsia"/>
                      <w:color w:val="000000"/>
                      <w:szCs w:val="21"/>
                    </w:rPr>
                    <w:t>1套</w:t>
                  </w:r>
                </w:p>
              </w:tc>
            </w:tr>
            <w:tr w14:paraId="1FE1C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66A2D4B9">
                  <w:pPr>
                    <w:adjustRightInd w:val="0"/>
                    <w:snapToGrid w:val="0"/>
                    <w:jc w:val="center"/>
                    <w:rPr>
                      <w:color w:val="000000"/>
                      <w:szCs w:val="21"/>
                    </w:rPr>
                  </w:pPr>
                  <w:r>
                    <w:rPr>
                      <w:rFonts w:hint="eastAsia"/>
                      <w:color w:val="000000"/>
                      <w:szCs w:val="21"/>
                    </w:rPr>
                    <w:t>15</w:t>
                  </w:r>
                </w:p>
              </w:tc>
              <w:tc>
                <w:tcPr>
                  <w:tcW w:w="429" w:type="pct"/>
                  <w:vMerge w:val="restart"/>
                  <w:vAlign w:val="center"/>
                </w:tcPr>
                <w:p w14:paraId="0FC7BD7D">
                  <w:pPr>
                    <w:widowControl/>
                    <w:adjustRightInd w:val="0"/>
                    <w:snapToGrid w:val="0"/>
                    <w:jc w:val="center"/>
                    <w:rPr>
                      <w:color w:val="000000"/>
                      <w:kern w:val="0"/>
                      <w:szCs w:val="21"/>
                    </w:rPr>
                  </w:pPr>
                  <w:r>
                    <w:rPr>
                      <w:rFonts w:hint="eastAsia"/>
                      <w:color w:val="000000"/>
                      <w:kern w:val="0"/>
                      <w:szCs w:val="21"/>
                    </w:rPr>
                    <w:t>包装系统</w:t>
                  </w:r>
                </w:p>
              </w:tc>
              <w:tc>
                <w:tcPr>
                  <w:tcW w:w="1096" w:type="pct"/>
                  <w:vAlign w:val="center"/>
                </w:tcPr>
                <w:p w14:paraId="7CBD16AF">
                  <w:pPr>
                    <w:widowControl/>
                    <w:adjustRightInd w:val="0"/>
                    <w:snapToGrid w:val="0"/>
                    <w:jc w:val="center"/>
                    <w:rPr>
                      <w:color w:val="000000"/>
                      <w:kern w:val="0"/>
                      <w:szCs w:val="21"/>
                    </w:rPr>
                  </w:pPr>
                  <w:r>
                    <w:rPr>
                      <w:rFonts w:hint="eastAsia"/>
                      <w:color w:val="000000"/>
                      <w:kern w:val="0"/>
                      <w:szCs w:val="21"/>
                    </w:rPr>
                    <w:t>密封螺旋机</w:t>
                  </w:r>
                </w:p>
              </w:tc>
              <w:tc>
                <w:tcPr>
                  <w:tcW w:w="2584" w:type="pct"/>
                  <w:vAlign w:val="center"/>
                </w:tcPr>
                <w:p w14:paraId="7D1C3334">
                  <w:pPr>
                    <w:adjustRightInd w:val="0"/>
                    <w:snapToGrid w:val="0"/>
                    <w:jc w:val="center"/>
                    <w:rPr>
                      <w:color w:val="000000"/>
                      <w:szCs w:val="21"/>
                    </w:rPr>
                  </w:pPr>
                  <w:r>
                    <w:rPr>
                      <w:rFonts w:hint="eastAsia"/>
                      <w:color w:val="000000"/>
                      <w:szCs w:val="21"/>
                    </w:rPr>
                    <w:t>ULS400密封螺旋机，P=5.5KW</w:t>
                  </w:r>
                </w:p>
              </w:tc>
              <w:tc>
                <w:tcPr>
                  <w:tcW w:w="450" w:type="pct"/>
                  <w:vAlign w:val="center"/>
                </w:tcPr>
                <w:p w14:paraId="3DE54701">
                  <w:pPr>
                    <w:adjustRightInd w:val="0"/>
                    <w:snapToGrid w:val="0"/>
                    <w:jc w:val="center"/>
                    <w:rPr>
                      <w:color w:val="000000"/>
                      <w:szCs w:val="21"/>
                    </w:rPr>
                  </w:pPr>
                  <w:r>
                    <w:rPr>
                      <w:rFonts w:hint="eastAsia"/>
                      <w:color w:val="000000"/>
                      <w:szCs w:val="21"/>
                    </w:rPr>
                    <w:t>1套</w:t>
                  </w:r>
                </w:p>
              </w:tc>
            </w:tr>
            <w:tr w14:paraId="2C1A1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33B361C5">
                  <w:pPr>
                    <w:adjustRightInd w:val="0"/>
                    <w:snapToGrid w:val="0"/>
                    <w:jc w:val="center"/>
                    <w:rPr>
                      <w:color w:val="000000"/>
                      <w:szCs w:val="21"/>
                    </w:rPr>
                  </w:pPr>
                  <w:r>
                    <w:rPr>
                      <w:rFonts w:hint="eastAsia"/>
                      <w:color w:val="000000"/>
                      <w:szCs w:val="21"/>
                    </w:rPr>
                    <w:t>16</w:t>
                  </w:r>
                </w:p>
              </w:tc>
              <w:tc>
                <w:tcPr>
                  <w:tcW w:w="429" w:type="pct"/>
                  <w:vMerge w:val="continue"/>
                  <w:vAlign w:val="center"/>
                </w:tcPr>
                <w:p w14:paraId="03BAA1F4">
                  <w:pPr>
                    <w:widowControl/>
                    <w:adjustRightInd w:val="0"/>
                    <w:snapToGrid w:val="0"/>
                    <w:jc w:val="center"/>
                    <w:rPr>
                      <w:color w:val="000000"/>
                      <w:kern w:val="0"/>
                      <w:szCs w:val="21"/>
                    </w:rPr>
                  </w:pPr>
                </w:p>
              </w:tc>
              <w:tc>
                <w:tcPr>
                  <w:tcW w:w="1096" w:type="pct"/>
                  <w:vAlign w:val="center"/>
                </w:tcPr>
                <w:p w14:paraId="29E3C9E2">
                  <w:pPr>
                    <w:widowControl/>
                    <w:adjustRightInd w:val="0"/>
                    <w:snapToGrid w:val="0"/>
                    <w:jc w:val="center"/>
                    <w:rPr>
                      <w:color w:val="000000"/>
                      <w:kern w:val="0"/>
                      <w:szCs w:val="21"/>
                    </w:rPr>
                  </w:pPr>
                  <w:r>
                    <w:rPr>
                      <w:rFonts w:hint="eastAsia"/>
                      <w:color w:val="000000"/>
                      <w:kern w:val="0"/>
                      <w:szCs w:val="21"/>
                    </w:rPr>
                    <w:t>袋包装储料斗</w:t>
                  </w:r>
                </w:p>
              </w:tc>
              <w:tc>
                <w:tcPr>
                  <w:tcW w:w="2584" w:type="pct"/>
                  <w:vAlign w:val="center"/>
                </w:tcPr>
                <w:p w14:paraId="22C4BE71">
                  <w:pPr>
                    <w:adjustRightInd w:val="0"/>
                    <w:snapToGrid w:val="0"/>
                    <w:jc w:val="center"/>
                    <w:rPr>
                      <w:color w:val="000000"/>
                      <w:szCs w:val="21"/>
                    </w:rPr>
                  </w:pPr>
                  <w:r>
                    <w:rPr>
                      <w:rFonts w:hint="eastAsia"/>
                      <w:color w:val="000000"/>
                      <w:szCs w:val="21"/>
                    </w:rPr>
                    <w:t>斗容=4.0m</w:t>
                  </w:r>
                  <w:r>
                    <w:rPr>
                      <w:rFonts w:hint="eastAsia"/>
                      <w:color w:val="000000"/>
                      <w:szCs w:val="21"/>
                      <w:vertAlign w:val="superscript"/>
                    </w:rPr>
                    <w:t>3</w:t>
                  </w:r>
                </w:p>
              </w:tc>
              <w:tc>
                <w:tcPr>
                  <w:tcW w:w="450" w:type="pct"/>
                  <w:vAlign w:val="center"/>
                </w:tcPr>
                <w:p w14:paraId="70CAB8A2">
                  <w:pPr>
                    <w:adjustRightInd w:val="0"/>
                    <w:snapToGrid w:val="0"/>
                    <w:jc w:val="center"/>
                    <w:rPr>
                      <w:color w:val="000000"/>
                      <w:szCs w:val="21"/>
                    </w:rPr>
                  </w:pPr>
                  <w:r>
                    <w:rPr>
                      <w:rFonts w:hint="eastAsia"/>
                      <w:color w:val="000000"/>
                      <w:szCs w:val="21"/>
                    </w:rPr>
                    <w:t>1套</w:t>
                  </w:r>
                </w:p>
              </w:tc>
            </w:tr>
            <w:tr w14:paraId="0E719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003A7871">
                  <w:pPr>
                    <w:adjustRightInd w:val="0"/>
                    <w:snapToGrid w:val="0"/>
                    <w:jc w:val="center"/>
                    <w:rPr>
                      <w:color w:val="000000"/>
                      <w:szCs w:val="21"/>
                    </w:rPr>
                  </w:pPr>
                  <w:r>
                    <w:rPr>
                      <w:rFonts w:hint="eastAsia"/>
                      <w:color w:val="000000"/>
                      <w:szCs w:val="21"/>
                    </w:rPr>
                    <w:t>17</w:t>
                  </w:r>
                </w:p>
              </w:tc>
              <w:tc>
                <w:tcPr>
                  <w:tcW w:w="429" w:type="pct"/>
                  <w:vMerge w:val="continue"/>
                  <w:vAlign w:val="center"/>
                </w:tcPr>
                <w:p w14:paraId="5E2B39B3">
                  <w:pPr>
                    <w:widowControl/>
                    <w:adjustRightInd w:val="0"/>
                    <w:snapToGrid w:val="0"/>
                    <w:jc w:val="center"/>
                    <w:rPr>
                      <w:color w:val="000000"/>
                      <w:kern w:val="0"/>
                      <w:szCs w:val="21"/>
                    </w:rPr>
                  </w:pPr>
                </w:p>
              </w:tc>
              <w:tc>
                <w:tcPr>
                  <w:tcW w:w="1096" w:type="pct"/>
                  <w:vAlign w:val="center"/>
                </w:tcPr>
                <w:p w14:paraId="3B518024">
                  <w:pPr>
                    <w:widowControl/>
                    <w:adjustRightInd w:val="0"/>
                    <w:snapToGrid w:val="0"/>
                    <w:jc w:val="center"/>
                    <w:rPr>
                      <w:color w:val="000000"/>
                      <w:kern w:val="0"/>
                      <w:szCs w:val="21"/>
                    </w:rPr>
                  </w:pPr>
                  <w:r>
                    <w:rPr>
                      <w:rFonts w:hint="eastAsia"/>
                      <w:color w:val="000000"/>
                      <w:kern w:val="0"/>
                      <w:szCs w:val="21"/>
                    </w:rPr>
                    <w:t>包装机</w:t>
                  </w:r>
                </w:p>
              </w:tc>
              <w:tc>
                <w:tcPr>
                  <w:tcW w:w="2584" w:type="pct"/>
                  <w:vAlign w:val="center"/>
                </w:tcPr>
                <w:p w14:paraId="40ADAD76">
                  <w:pPr>
                    <w:adjustRightInd w:val="0"/>
                    <w:snapToGrid w:val="0"/>
                    <w:jc w:val="center"/>
                    <w:rPr>
                      <w:color w:val="000000"/>
                      <w:szCs w:val="21"/>
                    </w:rPr>
                  </w:pPr>
                  <w:r>
                    <w:rPr>
                      <w:rFonts w:hint="eastAsia"/>
                      <w:color w:val="000000"/>
                      <w:szCs w:val="21"/>
                    </w:rPr>
                    <w:t>砂浆叶轮气吹包装机10T/H</w:t>
                  </w:r>
                </w:p>
              </w:tc>
              <w:tc>
                <w:tcPr>
                  <w:tcW w:w="450" w:type="pct"/>
                  <w:vAlign w:val="center"/>
                </w:tcPr>
                <w:p w14:paraId="61E44D2D">
                  <w:pPr>
                    <w:adjustRightInd w:val="0"/>
                    <w:snapToGrid w:val="0"/>
                    <w:jc w:val="center"/>
                    <w:rPr>
                      <w:color w:val="000000"/>
                      <w:szCs w:val="21"/>
                    </w:rPr>
                  </w:pPr>
                  <w:r>
                    <w:rPr>
                      <w:color w:val="000000"/>
                      <w:szCs w:val="21"/>
                    </w:rPr>
                    <w:t>2</w:t>
                  </w:r>
                  <w:r>
                    <w:rPr>
                      <w:rFonts w:hint="eastAsia"/>
                      <w:color w:val="000000"/>
                      <w:szCs w:val="21"/>
                    </w:rPr>
                    <w:t>套</w:t>
                  </w:r>
                </w:p>
              </w:tc>
            </w:tr>
            <w:tr w14:paraId="5C8BF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35F58EF2">
                  <w:pPr>
                    <w:adjustRightInd w:val="0"/>
                    <w:snapToGrid w:val="0"/>
                    <w:jc w:val="center"/>
                    <w:rPr>
                      <w:color w:val="000000"/>
                      <w:szCs w:val="21"/>
                    </w:rPr>
                  </w:pPr>
                  <w:r>
                    <w:rPr>
                      <w:rFonts w:hint="eastAsia"/>
                      <w:color w:val="000000"/>
                      <w:szCs w:val="21"/>
                    </w:rPr>
                    <w:t>18</w:t>
                  </w:r>
                </w:p>
              </w:tc>
              <w:tc>
                <w:tcPr>
                  <w:tcW w:w="429" w:type="pct"/>
                  <w:vMerge w:val="continue"/>
                  <w:vAlign w:val="center"/>
                </w:tcPr>
                <w:p w14:paraId="2879B494">
                  <w:pPr>
                    <w:widowControl/>
                    <w:adjustRightInd w:val="0"/>
                    <w:snapToGrid w:val="0"/>
                    <w:jc w:val="center"/>
                    <w:rPr>
                      <w:color w:val="000000"/>
                      <w:kern w:val="0"/>
                      <w:szCs w:val="21"/>
                    </w:rPr>
                  </w:pPr>
                </w:p>
              </w:tc>
              <w:tc>
                <w:tcPr>
                  <w:tcW w:w="1096" w:type="pct"/>
                  <w:vAlign w:val="center"/>
                </w:tcPr>
                <w:p w14:paraId="6011635C">
                  <w:pPr>
                    <w:widowControl/>
                    <w:adjustRightInd w:val="0"/>
                    <w:snapToGrid w:val="0"/>
                    <w:jc w:val="center"/>
                    <w:rPr>
                      <w:color w:val="000000"/>
                      <w:kern w:val="0"/>
                      <w:szCs w:val="21"/>
                    </w:rPr>
                  </w:pPr>
                  <w:r>
                    <w:rPr>
                      <w:rFonts w:hint="eastAsia"/>
                      <w:color w:val="000000"/>
                      <w:kern w:val="0"/>
                      <w:szCs w:val="21"/>
                    </w:rPr>
                    <w:t>袋装输送皮带机</w:t>
                  </w:r>
                </w:p>
              </w:tc>
              <w:tc>
                <w:tcPr>
                  <w:tcW w:w="2584" w:type="pct"/>
                  <w:vAlign w:val="center"/>
                </w:tcPr>
                <w:p w14:paraId="161DB936">
                  <w:pPr>
                    <w:adjustRightInd w:val="0"/>
                    <w:snapToGrid w:val="0"/>
                    <w:jc w:val="center"/>
                    <w:rPr>
                      <w:color w:val="000000"/>
                      <w:szCs w:val="21"/>
                    </w:rPr>
                  </w:pPr>
                  <w:r>
                    <w:rPr>
                      <w:rFonts w:hint="eastAsia"/>
                      <w:color w:val="000000"/>
                      <w:szCs w:val="21"/>
                    </w:rPr>
                    <w:t>挡边防刮带皮带机PD650</w:t>
                  </w:r>
                </w:p>
              </w:tc>
              <w:tc>
                <w:tcPr>
                  <w:tcW w:w="450" w:type="pct"/>
                  <w:vAlign w:val="center"/>
                </w:tcPr>
                <w:p w14:paraId="0D56F89B">
                  <w:pPr>
                    <w:adjustRightInd w:val="0"/>
                    <w:snapToGrid w:val="0"/>
                    <w:jc w:val="center"/>
                    <w:rPr>
                      <w:color w:val="000000"/>
                      <w:szCs w:val="21"/>
                    </w:rPr>
                  </w:pPr>
                  <w:r>
                    <w:rPr>
                      <w:rFonts w:hint="eastAsia"/>
                      <w:color w:val="000000"/>
                      <w:szCs w:val="21"/>
                    </w:rPr>
                    <w:t>1套</w:t>
                  </w:r>
                </w:p>
              </w:tc>
            </w:tr>
            <w:tr w14:paraId="219D2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009BFAA8">
                  <w:pPr>
                    <w:adjustRightInd w:val="0"/>
                    <w:snapToGrid w:val="0"/>
                    <w:jc w:val="center"/>
                    <w:rPr>
                      <w:color w:val="000000"/>
                      <w:szCs w:val="21"/>
                    </w:rPr>
                  </w:pPr>
                  <w:r>
                    <w:rPr>
                      <w:rFonts w:hint="eastAsia"/>
                      <w:color w:val="000000"/>
                      <w:szCs w:val="21"/>
                    </w:rPr>
                    <w:t>19</w:t>
                  </w:r>
                </w:p>
              </w:tc>
              <w:tc>
                <w:tcPr>
                  <w:tcW w:w="429" w:type="pct"/>
                  <w:vMerge w:val="continue"/>
                  <w:vAlign w:val="center"/>
                </w:tcPr>
                <w:p w14:paraId="7AEBA7CA">
                  <w:pPr>
                    <w:widowControl/>
                    <w:adjustRightInd w:val="0"/>
                    <w:snapToGrid w:val="0"/>
                    <w:jc w:val="center"/>
                    <w:rPr>
                      <w:color w:val="000000"/>
                      <w:kern w:val="0"/>
                      <w:szCs w:val="21"/>
                    </w:rPr>
                  </w:pPr>
                </w:p>
              </w:tc>
              <w:tc>
                <w:tcPr>
                  <w:tcW w:w="1096" w:type="pct"/>
                  <w:vAlign w:val="center"/>
                </w:tcPr>
                <w:p w14:paraId="3D90E965">
                  <w:pPr>
                    <w:widowControl/>
                    <w:adjustRightInd w:val="0"/>
                    <w:snapToGrid w:val="0"/>
                    <w:jc w:val="center"/>
                    <w:rPr>
                      <w:color w:val="000000"/>
                      <w:kern w:val="0"/>
                      <w:szCs w:val="21"/>
                    </w:rPr>
                  </w:pPr>
                  <w:r>
                    <w:rPr>
                      <w:rFonts w:hint="eastAsia"/>
                      <w:color w:val="000000"/>
                      <w:kern w:val="0"/>
                      <w:szCs w:val="21"/>
                    </w:rPr>
                    <w:t>包装机除尘器</w:t>
                  </w:r>
                </w:p>
              </w:tc>
              <w:tc>
                <w:tcPr>
                  <w:tcW w:w="2584" w:type="pct"/>
                  <w:vAlign w:val="center"/>
                </w:tcPr>
                <w:p w14:paraId="7B569431">
                  <w:pPr>
                    <w:adjustRightInd w:val="0"/>
                    <w:snapToGrid w:val="0"/>
                    <w:jc w:val="center"/>
                    <w:rPr>
                      <w:color w:val="000000"/>
                      <w:szCs w:val="21"/>
                    </w:rPr>
                  </w:pPr>
                  <w:r>
                    <w:rPr>
                      <w:rFonts w:hint="eastAsia"/>
                      <w:color w:val="000000"/>
                      <w:szCs w:val="21"/>
                    </w:rPr>
                    <w:t>布袋除尘器，处理风量：</w:t>
                  </w:r>
                  <w:r>
                    <w:rPr>
                      <w:color w:val="000000"/>
                      <w:szCs w:val="21"/>
                    </w:rPr>
                    <w:t>5400-10800</w:t>
                  </w:r>
                  <w:r>
                    <w:rPr>
                      <w:rFonts w:hint="eastAsia"/>
                      <w:color w:val="000000"/>
                      <w:szCs w:val="21"/>
                    </w:rPr>
                    <w:t>m</w:t>
                  </w:r>
                  <w:r>
                    <w:rPr>
                      <w:rFonts w:hint="eastAsia"/>
                      <w:color w:val="000000"/>
                      <w:szCs w:val="21"/>
                      <w:vertAlign w:val="superscript"/>
                    </w:rPr>
                    <w:t>3</w:t>
                  </w:r>
                  <w:r>
                    <w:rPr>
                      <w:rFonts w:hint="eastAsia"/>
                      <w:color w:val="000000"/>
                      <w:szCs w:val="21"/>
                    </w:rPr>
                    <w:t>/h，P=</w:t>
                  </w:r>
                  <w:r>
                    <w:rPr>
                      <w:color w:val="000000"/>
                      <w:szCs w:val="21"/>
                    </w:rPr>
                    <w:t>11</w:t>
                  </w:r>
                  <w:r>
                    <w:rPr>
                      <w:rFonts w:hint="eastAsia"/>
                      <w:color w:val="000000"/>
                      <w:szCs w:val="21"/>
                    </w:rPr>
                    <w:t>KW</w:t>
                  </w:r>
                </w:p>
              </w:tc>
              <w:tc>
                <w:tcPr>
                  <w:tcW w:w="450" w:type="pct"/>
                  <w:vAlign w:val="center"/>
                </w:tcPr>
                <w:p w14:paraId="43800719">
                  <w:pPr>
                    <w:adjustRightInd w:val="0"/>
                    <w:snapToGrid w:val="0"/>
                    <w:jc w:val="center"/>
                    <w:rPr>
                      <w:color w:val="000000"/>
                      <w:szCs w:val="21"/>
                    </w:rPr>
                  </w:pPr>
                  <w:r>
                    <w:rPr>
                      <w:color w:val="000000"/>
                      <w:szCs w:val="21"/>
                    </w:rPr>
                    <w:t>1</w:t>
                  </w:r>
                  <w:r>
                    <w:rPr>
                      <w:rFonts w:hint="eastAsia"/>
                      <w:color w:val="000000"/>
                      <w:szCs w:val="21"/>
                    </w:rPr>
                    <w:t>套</w:t>
                  </w:r>
                </w:p>
              </w:tc>
            </w:tr>
            <w:tr w14:paraId="47815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2518DF2A">
                  <w:pPr>
                    <w:adjustRightInd w:val="0"/>
                    <w:snapToGrid w:val="0"/>
                    <w:jc w:val="center"/>
                    <w:rPr>
                      <w:color w:val="000000"/>
                      <w:szCs w:val="21"/>
                    </w:rPr>
                  </w:pPr>
                  <w:r>
                    <w:rPr>
                      <w:rFonts w:hint="eastAsia"/>
                      <w:color w:val="000000"/>
                      <w:szCs w:val="21"/>
                    </w:rPr>
                    <w:t>20</w:t>
                  </w:r>
                </w:p>
              </w:tc>
              <w:tc>
                <w:tcPr>
                  <w:tcW w:w="429" w:type="pct"/>
                  <w:vMerge w:val="restart"/>
                  <w:vAlign w:val="center"/>
                </w:tcPr>
                <w:p w14:paraId="4636270C">
                  <w:pPr>
                    <w:widowControl/>
                    <w:adjustRightInd w:val="0"/>
                    <w:snapToGrid w:val="0"/>
                    <w:jc w:val="center"/>
                    <w:rPr>
                      <w:color w:val="000000"/>
                      <w:kern w:val="0"/>
                      <w:szCs w:val="21"/>
                    </w:rPr>
                  </w:pPr>
                  <w:r>
                    <w:rPr>
                      <w:rFonts w:hint="eastAsia"/>
                      <w:color w:val="000000"/>
                      <w:kern w:val="0"/>
                      <w:szCs w:val="21"/>
                    </w:rPr>
                    <w:t>气动系统</w:t>
                  </w:r>
                </w:p>
              </w:tc>
              <w:tc>
                <w:tcPr>
                  <w:tcW w:w="1096" w:type="pct"/>
                  <w:vAlign w:val="center"/>
                </w:tcPr>
                <w:p w14:paraId="2684DA91">
                  <w:pPr>
                    <w:widowControl/>
                    <w:adjustRightInd w:val="0"/>
                    <w:snapToGrid w:val="0"/>
                    <w:jc w:val="center"/>
                    <w:rPr>
                      <w:color w:val="000000"/>
                      <w:kern w:val="0"/>
                      <w:szCs w:val="21"/>
                    </w:rPr>
                  </w:pPr>
                  <w:r>
                    <w:rPr>
                      <w:rFonts w:hint="eastAsia"/>
                    </w:rPr>
                    <w:t>空压机</w:t>
                  </w:r>
                </w:p>
              </w:tc>
              <w:tc>
                <w:tcPr>
                  <w:tcW w:w="2584" w:type="pct"/>
                  <w:vAlign w:val="center"/>
                </w:tcPr>
                <w:p w14:paraId="51C1B308">
                  <w:pPr>
                    <w:jc w:val="center"/>
                  </w:pPr>
                  <w:r>
                    <w:rPr>
                      <w:rFonts w:hint="eastAsia"/>
                    </w:rPr>
                    <w:t>3m</w:t>
                  </w:r>
                  <w:r>
                    <w:rPr>
                      <w:vertAlign w:val="superscript"/>
                    </w:rPr>
                    <w:t>3</w:t>
                  </w:r>
                  <w:r>
                    <w:rPr>
                      <w:rFonts w:hint="eastAsia"/>
                    </w:rPr>
                    <w:t>螺杆空压机，P=22KW</w:t>
                  </w:r>
                </w:p>
              </w:tc>
              <w:tc>
                <w:tcPr>
                  <w:tcW w:w="450" w:type="pct"/>
                  <w:vAlign w:val="center"/>
                </w:tcPr>
                <w:p w14:paraId="0EFE2941">
                  <w:pPr>
                    <w:jc w:val="center"/>
                  </w:pPr>
                  <w:r>
                    <w:rPr>
                      <w:rFonts w:hint="eastAsia"/>
                    </w:rPr>
                    <w:t>1台</w:t>
                  </w:r>
                </w:p>
              </w:tc>
            </w:tr>
            <w:tr w14:paraId="19F29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4757C775">
                  <w:pPr>
                    <w:adjustRightInd w:val="0"/>
                    <w:snapToGrid w:val="0"/>
                    <w:jc w:val="center"/>
                    <w:rPr>
                      <w:color w:val="000000"/>
                      <w:szCs w:val="21"/>
                    </w:rPr>
                  </w:pPr>
                  <w:r>
                    <w:rPr>
                      <w:rFonts w:hint="eastAsia"/>
                      <w:color w:val="000000"/>
                      <w:szCs w:val="21"/>
                    </w:rPr>
                    <w:t>21</w:t>
                  </w:r>
                </w:p>
              </w:tc>
              <w:tc>
                <w:tcPr>
                  <w:tcW w:w="429" w:type="pct"/>
                  <w:vMerge w:val="continue"/>
                  <w:vAlign w:val="center"/>
                </w:tcPr>
                <w:p w14:paraId="0D8BC087">
                  <w:pPr>
                    <w:widowControl/>
                    <w:adjustRightInd w:val="0"/>
                    <w:snapToGrid w:val="0"/>
                    <w:jc w:val="center"/>
                    <w:rPr>
                      <w:color w:val="000000"/>
                      <w:kern w:val="0"/>
                      <w:szCs w:val="21"/>
                    </w:rPr>
                  </w:pPr>
                </w:p>
              </w:tc>
              <w:tc>
                <w:tcPr>
                  <w:tcW w:w="1096" w:type="pct"/>
                  <w:vAlign w:val="center"/>
                </w:tcPr>
                <w:p w14:paraId="4565B988">
                  <w:pPr>
                    <w:widowControl/>
                    <w:adjustRightInd w:val="0"/>
                    <w:snapToGrid w:val="0"/>
                    <w:jc w:val="center"/>
                    <w:rPr>
                      <w:color w:val="000000"/>
                      <w:kern w:val="0"/>
                      <w:szCs w:val="21"/>
                    </w:rPr>
                  </w:pPr>
                  <w:r>
                    <w:rPr>
                      <w:rFonts w:hint="eastAsia"/>
                    </w:rPr>
                    <w:t>冷干机</w:t>
                  </w:r>
                </w:p>
              </w:tc>
              <w:tc>
                <w:tcPr>
                  <w:tcW w:w="2584" w:type="pct"/>
                  <w:vAlign w:val="center"/>
                </w:tcPr>
                <w:p w14:paraId="6A8B82FA">
                  <w:pPr>
                    <w:jc w:val="center"/>
                  </w:pPr>
                  <w:r>
                    <w:rPr>
                      <w:rFonts w:hint="eastAsia"/>
                    </w:rPr>
                    <w:t>冷干机</w:t>
                  </w:r>
                </w:p>
              </w:tc>
              <w:tc>
                <w:tcPr>
                  <w:tcW w:w="450" w:type="pct"/>
                  <w:vAlign w:val="center"/>
                </w:tcPr>
                <w:p w14:paraId="052C923B">
                  <w:pPr>
                    <w:jc w:val="center"/>
                  </w:pPr>
                  <w:r>
                    <w:rPr>
                      <w:rFonts w:hint="eastAsia"/>
                    </w:rPr>
                    <w:t>1台</w:t>
                  </w:r>
                </w:p>
              </w:tc>
            </w:tr>
            <w:tr w14:paraId="0810E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0B0AF787">
                  <w:pPr>
                    <w:adjustRightInd w:val="0"/>
                    <w:snapToGrid w:val="0"/>
                    <w:jc w:val="center"/>
                    <w:rPr>
                      <w:color w:val="000000"/>
                      <w:szCs w:val="21"/>
                    </w:rPr>
                  </w:pPr>
                  <w:r>
                    <w:rPr>
                      <w:rFonts w:hint="eastAsia"/>
                      <w:color w:val="000000"/>
                      <w:szCs w:val="21"/>
                    </w:rPr>
                    <w:t>22</w:t>
                  </w:r>
                </w:p>
              </w:tc>
              <w:tc>
                <w:tcPr>
                  <w:tcW w:w="429" w:type="pct"/>
                  <w:vMerge w:val="continue"/>
                  <w:vAlign w:val="center"/>
                </w:tcPr>
                <w:p w14:paraId="3EC69D61">
                  <w:pPr>
                    <w:widowControl/>
                    <w:adjustRightInd w:val="0"/>
                    <w:snapToGrid w:val="0"/>
                    <w:jc w:val="center"/>
                    <w:rPr>
                      <w:color w:val="000000"/>
                      <w:kern w:val="0"/>
                      <w:szCs w:val="21"/>
                    </w:rPr>
                  </w:pPr>
                </w:p>
              </w:tc>
              <w:tc>
                <w:tcPr>
                  <w:tcW w:w="1096" w:type="pct"/>
                  <w:vAlign w:val="center"/>
                </w:tcPr>
                <w:p w14:paraId="649079F0">
                  <w:pPr>
                    <w:widowControl/>
                    <w:adjustRightInd w:val="0"/>
                    <w:snapToGrid w:val="0"/>
                    <w:jc w:val="center"/>
                    <w:rPr>
                      <w:color w:val="000000"/>
                      <w:kern w:val="0"/>
                      <w:szCs w:val="21"/>
                    </w:rPr>
                  </w:pPr>
                  <w:r>
                    <w:rPr>
                      <w:rFonts w:hint="eastAsia"/>
                    </w:rPr>
                    <w:t>油水过滤器</w:t>
                  </w:r>
                </w:p>
              </w:tc>
              <w:tc>
                <w:tcPr>
                  <w:tcW w:w="2584" w:type="pct"/>
                  <w:vAlign w:val="center"/>
                </w:tcPr>
                <w:p w14:paraId="15A2D504">
                  <w:pPr>
                    <w:jc w:val="center"/>
                  </w:pPr>
                  <w:r>
                    <w:rPr>
                      <w:rFonts w:hint="eastAsia"/>
                    </w:rPr>
                    <w:t>油水过滤器等附件</w:t>
                  </w:r>
                </w:p>
              </w:tc>
              <w:tc>
                <w:tcPr>
                  <w:tcW w:w="450" w:type="pct"/>
                  <w:vAlign w:val="center"/>
                </w:tcPr>
                <w:p w14:paraId="22D2B25A">
                  <w:pPr>
                    <w:jc w:val="center"/>
                  </w:pPr>
                  <w:r>
                    <w:rPr>
                      <w:rFonts w:hint="eastAsia"/>
                    </w:rPr>
                    <w:t>1 套</w:t>
                  </w:r>
                </w:p>
              </w:tc>
            </w:tr>
            <w:tr w14:paraId="1A81B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0C743A4B">
                  <w:pPr>
                    <w:adjustRightInd w:val="0"/>
                    <w:snapToGrid w:val="0"/>
                    <w:jc w:val="center"/>
                    <w:rPr>
                      <w:color w:val="000000"/>
                      <w:szCs w:val="21"/>
                    </w:rPr>
                  </w:pPr>
                  <w:r>
                    <w:rPr>
                      <w:rFonts w:hint="eastAsia"/>
                      <w:color w:val="000000"/>
                      <w:szCs w:val="21"/>
                    </w:rPr>
                    <w:t>23</w:t>
                  </w:r>
                </w:p>
              </w:tc>
              <w:tc>
                <w:tcPr>
                  <w:tcW w:w="429" w:type="pct"/>
                  <w:vMerge w:val="continue"/>
                  <w:vAlign w:val="center"/>
                </w:tcPr>
                <w:p w14:paraId="61ED0D36">
                  <w:pPr>
                    <w:widowControl/>
                    <w:adjustRightInd w:val="0"/>
                    <w:snapToGrid w:val="0"/>
                    <w:jc w:val="center"/>
                    <w:rPr>
                      <w:color w:val="000000"/>
                      <w:kern w:val="0"/>
                      <w:szCs w:val="21"/>
                    </w:rPr>
                  </w:pPr>
                </w:p>
              </w:tc>
              <w:tc>
                <w:tcPr>
                  <w:tcW w:w="1096" w:type="pct"/>
                  <w:vAlign w:val="center"/>
                </w:tcPr>
                <w:p w14:paraId="5E20B2C6">
                  <w:pPr>
                    <w:widowControl/>
                    <w:adjustRightInd w:val="0"/>
                    <w:snapToGrid w:val="0"/>
                    <w:jc w:val="center"/>
                    <w:rPr>
                      <w:color w:val="000000"/>
                      <w:kern w:val="0"/>
                      <w:szCs w:val="21"/>
                    </w:rPr>
                  </w:pPr>
                  <w:r>
                    <w:rPr>
                      <w:rFonts w:hint="eastAsia"/>
                    </w:rPr>
                    <w:t>储气罐</w:t>
                  </w:r>
                </w:p>
              </w:tc>
              <w:tc>
                <w:tcPr>
                  <w:tcW w:w="2584" w:type="pct"/>
                  <w:vAlign w:val="center"/>
                </w:tcPr>
                <w:p w14:paraId="27772DD3">
                  <w:pPr>
                    <w:jc w:val="center"/>
                  </w:pPr>
                  <w:r>
                    <w:rPr>
                      <w:rFonts w:hint="eastAsia"/>
                    </w:rPr>
                    <w:t>1m</w:t>
                  </w:r>
                  <w:r>
                    <w:rPr>
                      <w:rFonts w:hint="eastAsia"/>
                      <w:vertAlign w:val="superscript"/>
                    </w:rPr>
                    <w:t>3</w:t>
                  </w:r>
                </w:p>
              </w:tc>
              <w:tc>
                <w:tcPr>
                  <w:tcW w:w="450" w:type="pct"/>
                  <w:vAlign w:val="center"/>
                </w:tcPr>
                <w:p w14:paraId="2225AD9A">
                  <w:pPr>
                    <w:jc w:val="center"/>
                  </w:pPr>
                  <w:r>
                    <w:rPr>
                      <w:rFonts w:hint="eastAsia"/>
                    </w:rPr>
                    <w:t>2个</w:t>
                  </w:r>
                </w:p>
              </w:tc>
            </w:tr>
            <w:tr w14:paraId="3EEE6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1" w:type="pct"/>
                  <w:vAlign w:val="center"/>
                </w:tcPr>
                <w:p w14:paraId="7E71ED2C">
                  <w:pPr>
                    <w:adjustRightInd w:val="0"/>
                    <w:snapToGrid w:val="0"/>
                    <w:jc w:val="center"/>
                    <w:rPr>
                      <w:color w:val="000000"/>
                      <w:szCs w:val="21"/>
                    </w:rPr>
                  </w:pPr>
                  <w:r>
                    <w:rPr>
                      <w:rFonts w:hint="eastAsia"/>
                      <w:color w:val="000000"/>
                      <w:szCs w:val="21"/>
                    </w:rPr>
                    <w:t>24</w:t>
                  </w:r>
                </w:p>
              </w:tc>
              <w:tc>
                <w:tcPr>
                  <w:tcW w:w="429" w:type="pct"/>
                  <w:vMerge w:val="continue"/>
                  <w:vAlign w:val="center"/>
                </w:tcPr>
                <w:p w14:paraId="73A4B1EF">
                  <w:pPr>
                    <w:widowControl/>
                    <w:adjustRightInd w:val="0"/>
                    <w:snapToGrid w:val="0"/>
                    <w:jc w:val="center"/>
                    <w:rPr>
                      <w:color w:val="000000"/>
                      <w:kern w:val="0"/>
                      <w:szCs w:val="21"/>
                    </w:rPr>
                  </w:pPr>
                </w:p>
              </w:tc>
              <w:tc>
                <w:tcPr>
                  <w:tcW w:w="1096" w:type="pct"/>
                  <w:vAlign w:val="center"/>
                </w:tcPr>
                <w:p w14:paraId="104B0EE5">
                  <w:pPr>
                    <w:widowControl/>
                    <w:adjustRightInd w:val="0"/>
                    <w:snapToGrid w:val="0"/>
                    <w:jc w:val="center"/>
                    <w:rPr>
                      <w:color w:val="000000"/>
                      <w:kern w:val="0"/>
                      <w:szCs w:val="21"/>
                    </w:rPr>
                  </w:pPr>
                  <w:r>
                    <w:rPr>
                      <w:rFonts w:hint="eastAsia"/>
                    </w:rPr>
                    <w:t>支气管</w:t>
                  </w:r>
                </w:p>
              </w:tc>
              <w:tc>
                <w:tcPr>
                  <w:tcW w:w="2584" w:type="pct"/>
                  <w:vAlign w:val="center"/>
                </w:tcPr>
                <w:p w14:paraId="2A871E6A">
                  <w:pPr>
                    <w:jc w:val="center"/>
                  </w:pPr>
                  <w:r>
                    <w:rPr>
                      <w:rFonts w:hint="eastAsia"/>
                    </w:rPr>
                    <w:t>DN10软管</w:t>
                  </w:r>
                </w:p>
              </w:tc>
              <w:tc>
                <w:tcPr>
                  <w:tcW w:w="450" w:type="pct"/>
                  <w:vAlign w:val="center"/>
                </w:tcPr>
                <w:p w14:paraId="1CA69D54">
                  <w:pPr>
                    <w:jc w:val="center"/>
                  </w:pPr>
                  <w:r>
                    <w:rPr>
                      <w:rFonts w:hint="eastAsia"/>
                    </w:rPr>
                    <w:t>1套</w:t>
                  </w:r>
                </w:p>
              </w:tc>
            </w:tr>
            <w:tr w14:paraId="681AB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5B7F0314">
                  <w:pPr>
                    <w:adjustRightInd w:val="0"/>
                    <w:snapToGrid w:val="0"/>
                    <w:jc w:val="center"/>
                    <w:rPr>
                      <w:color w:val="000000"/>
                      <w:szCs w:val="21"/>
                    </w:rPr>
                  </w:pPr>
                  <w:r>
                    <w:rPr>
                      <w:rFonts w:hint="eastAsia"/>
                      <w:color w:val="000000"/>
                      <w:szCs w:val="21"/>
                    </w:rPr>
                    <w:t>25</w:t>
                  </w:r>
                </w:p>
              </w:tc>
              <w:tc>
                <w:tcPr>
                  <w:tcW w:w="429" w:type="pct"/>
                  <w:vMerge w:val="continue"/>
                  <w:vAlign w:val="center"/>
                </w:tcPr>
                <w:p w14:paraId="32A5F1C1">
                  <w:pPr>
                    <w:widowControl/>
                    <w:adjustRightInd w:val="0"/>
                    <w:snapToGrid w:val="0"/>
                    <w:jc w:val="center"/>
                    <w:rPr>
                      <w:color w:val="000000"/>
                      <w:kern w:val="0"/>
                      <w:szCs w:val="21"/>
                    </w:rPr>
                  </w:pPr>
                </w:p>
              </w:tc>
              <w:tc>
                <w:tcPr>
                  <w:tcW w:w="1096" w:type="pct"/>
                  <w:vAlign w:val="center"/>
                </w:tcPr>
                <w:p w14:paraId="23384AA3">
                  <w:pPr>
                    <w:widowControl/>
                    <w:adjustRightInd w:val="0"/>
                    <w:snapToGrid w:val="0"/>
                    <w:jc w:val="center"/>
                    <w:rPr>
                      <w:color w:val="000000"/>
                      <w:kern w:val="0"/>
                      <w:szCs w:val="21"/>
                    </w:rPr>
                  </w:pPr>
                  <w:r>
                    <w:rPr>
                      <w:rFonts w:hint="eastAsia"/>
                    </w:rPr>
                    <w:t>主管路</w:t>
                  </w:r>
                </w:p>
              </w:tc>
              <w:tc>
                <w:tcPr>
                  <w:tcW w:w="2584" w:type="pct"/>
                  <w:vAlign w:val="center"/>
                </w:tcPr>
                <w:p w14:paraId="41941AAB">
                  <w:pPr>
                    <w:jc w:val="center"/>
                  </w:pPr>
                  <w:r>
                    <w:rPr>
                      <w:rFonts w:hint="eastAsia"/>
                    </w:rPr>
                    <w:t>镀锌钢管</w:t>
                  </w:r>
                </w:p>
              </w:tc>
              <w:tc>
                <w:tcPr>
                  <w:tcW w:w="450" w:type="pct"/>
                  <w:vAlign w:val="center"/>
                </w:tcPr>
                <w:p w14:paraId="69CFE896">
                  <w:pPr>
                    <w:jc w:val="center"/>
                  </w:pPr>
                  <w:r>
                    <w:rPr>
                      <w:rFonts w:hint="eastAsia"/>
                    </w:rPr>
                    <w:t>1套</w:t>
                  </w:r>
                </w:p>
              </w:tc>
            </w:tr>
            <w:tr w14:paraId="610E0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6372D1F1">
                  <w:pPr>
                    <w:adjustRightInd w:val="0"/>
                    <w:snapToGrid w:val="0"/>
                    <w:jc w:val="center"/>
                    <w:rPr>
                      <w:color w:val="000000"/>
                      <w:szCs w:val="21"/>
                    </w:rPr>
                  </w:pPr>
                  <w:r>
                    <w:rPr>
                      <w:rFonts w:hint="eastAsia"/>
                      <w:color w:val="000000"/>
                      <w:szCs w:val="21"/>
                    </w:rPr>
                    <w:t>26</w:t>
                  </w:r>
                </w:p>
              </w:tc>
              <w:tc>
                <w:tcPr>
                  <w:tcW w:w="429" w:type="pct"/>
                  <w:vMerge w:val="restart"/>
                  <w:vAlign w:val="center"/>
                </w:tcPr>
                <w:p w14:paraId="46ECEE48">
                  <w:pPr>
                    <w:widowControl/>
                    <w:adjustRightInd w:val="0"/>
                    <w:snapToGrid w:val="0"/>
                    <w:jc w:val="center"/>
                    <w:rPr>
                      <w:color w:val="000000"/>
                      <w:kern w:val="0"/>
                      <w:szCs w:val="21"/>
                    </w:rPr>
                  </w:pPr>
                  <w:r>
                    <w:rPr>
                      <w:rFonts w:hint="eastAsia"/>
                      <w:color w:val="000000"/>
                      <w:kern w:val="0"/>
                      <w:szCs w:val="21"/>
                    </w:rPr>
                    <w:t>砂仓附件</w:t>
                  </w:r>
                </w:p>
              </w:tc>
              <w:tc>
                <w:tcPr>
                  <w:tcW w:w="1096" w:type="pct"/>
                  <w:vAlign w:val="center"/>
                </w:tcPr>
                <w:p w14:paraId="0A7E10EF">
                  <w:pPr>
                    <w:jc w:val="center"/>
                  </w:pPr>
                  <w:r>
                    <w:rPr>
                      <w:rFonts w:hint="eastAsia"/>
                    </w:rPr>
                    <w:t>砂料专用料位计</w:t>
                  </w:r>
                </w:p>
              </w:tc>
              <w:tc>
                <w:tcPr>
                  <w:tcW w:w="2584" w:type="pct"/>
                  <w:vAlign w:val="center"/>
                </w:tcPr>
                <w:p w14:paraId="215C4CF6">
                  <w:pPr>
                    <w:jc w:val="center"/>
                  </w:pPr>
                  <w:r>
                    <w:rPr>
                      <w:rFonts w:hint="eastAsia"/>
                    </w:rPr>
                    <w:t>/</w:t>
                  </w:r>
                </w:p>
              </w:tc>
              <w:tc>
                <w:tcPr>
                  <w:tcW w:w="450" w:type="pct"/>
                  <w:vAlign w:val="center"/>
                </w:tcPr>
                <w:p w14:paraId="6D012C51">
                  <w:pPr>
                    <w:jc w:val="center"/>
                  </w:pPr>
                  <w:r>
                    <w:rPr>
                      <w:rFonts w:hint="eastAsia"/>
                    </w:rPr>
                    <w:t>4套</w:t>
                  </w:r>
                </w:p>
              </w:tc>
            </w:tr>
            <w:tr w14:paraId="6D70A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7317554E">
                  <w:pPr>
                    <w:adjustRightInd w:val="0"/>
                    <w:snapToGrid w:val="0"/>
                    <w:jc w:val="center"/>
                    <w:rPr>
                      <w:color w:val="000000"/>
                      <w:szCs w:val="21"/>
                    </w:rPr>
                  </w:pPr>
                  <w:r>
                    <w:rPr>
                      <w:rFonts w:hint="eastAsia"/>
                      <w:color w:val="000000"/>
                      <w:szCs w:val="21"/>
                    </w:rPr>
                    <w:t>27</w:t>
                  </w:r>
                </w:p>
              </w:tc>
              <w:tc>
                <w:tcPr>
                  <w:tcW w:w="429" w:type="pct"/>
                  <w:vMerge w:val="continue"/>
                  <w:vAlign w:val="center"/>
                </w:tcPr>
                <w:p w14:paraId="61308A45">
                  <w:pPr>
                    <w:widowControl/>
                    <w:adjustRightInd w:val="0"/>
                    <w:snapToGrid w:val="0"/>
                    <w:jc w:val="center"/>
                    <w:rPr>
                      <w:color w:val="000000"/>
                      <w:kern w:val="0"/>
                      <w:szCs w:val="21"/>
                    </w:rPr>
                  </w:pPr>
                </w:p>
              </w:tc>
              <w:tc>
                <w:tcPr>
                  <w:tcW w:w="1096" w:type="pct"/>
                  <w:vAlign w:val="center"/>
                </w:tcPr>
                <w:p w14:paraId="1E355980">
                  <w:pPr>
                    <w:jc w:val="center"/>
                  </w:pPr>
                  <w:r>
                    <w:rPr>
                      <w:rFonts w:hint="eastAsia"/>
                    </w:rPr>
                    <w:t>人字形双仓连接管</w:t>
                  </w:r>
                </w:p>
              </w:tc>
              <w:tc>
                <w:tcPr>
                  <w:tcW w:w="2584" w:type="pct"/>
                  <w:vAlign w:val="center"/>
                </w:tcPr>
                <w:p w14:paraId="7FB75492">
                  <w:pPr>
                    <w:jc w:val="center"/>
                  </w:pPr>
                  <w:r>
                    <w:rPr>
                      <w:rFonts w:hint="eastAsia"/>
                    </w:rPr>
                    <w:t>/</w:t>
                  </w:r>
                </w:p>
              </w:tc>
              <w:tc>
                <w:tcPr>
                  <w:tcW w:w="450" w:type="pct"/>
                  <w:vAlign w:val="center"/>
                </w:tcPr>
                <w:p w14:paraId="37345369">
                  <w:pPr>
                    <w:jc w:val="center"/>
                  </w:pPr>
                  <w:r>
                    <w:rPr>
                      <w:rFonts w:hint="eastAsia"/>
                    </w:rPr>
                    <w:t>1套</w:t>
                  </w:r>
                </w:p>
              </w:tc>
            </w:tr>
            <w:tr w14:paraId="4BFC9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16853E73">
                  <w:pPr>
                    <w:adjustRightInd w:val="0"/>
                    <w:snapToGrid w:val="0"/>
                    <w:jc w:val="center"/>
                    <w:rPr>
                      <w:color w:val="000000"/>
                      <w:szCs w:val="21"/>
                    </w:rPr>
                  </w:pPr>
                  <w:r>
                    <w:rPr>
                      <w:rFonts w:hint="eastAsia"/>
                      <w:color w:val="000000"/>
                      <w:szCs w:val="21"/>
                    </w:rPr>
                    <w:t>28</w:t>
                  </w:r>
                </w:p>
              </w:tc>
              <w:tc>
                <w:tcPr>
                  <w:tcW w:w="429" w:type="pct"/>
                  <w:vMerge w:val="continue"/>
                  <w:vAlign w:val="center"/>
                </w:tcPr>
                <w:p w14:paraId="10B97F72">
                  <w:pPr>
                    <w:widowControl/>
                    <w:adjustRightInd w:val="0"/>
                    <w:snapToGrid w:val="0"/>
                    <w:jc w:val="center"/>
                    <w:rPr>
                      <w:color w:val="000000"/>
                      <w:kern w:val="0"/>
                      <w:szCs w:val="21"/>
                    </w:rPr>
                  </w:pPr>
                </w:p>
              </w:tc>
              <w:tc>
                <w:tcPr>
                  <w:tcW w:w="1096" w:type="pct"/>
                  <w:vAlign w:val="center"/>
                </w:tcPr>
                <w:p w14:paraId="375AFEB3">
                  <w:pPr>
                    <w:jc w:val="center"/>
                  </w:pPr>
                  <w:r>
                    <w:rPr>
                      <w:rFonts w:hint="eastAsia"/>
                    </w:rPr>
                    <w:t>助流气嘴</w:t>
                  </w:r>
                </w:p>
              </w:tc>
              <w:tc>
                <w:tcPr>
                  <w:tcW w:w="2584" w:type="pct"/>
                  <w:vAlign w:val="center"/>
                </w:tcPr>
                <w:p w14:paraId="38E9DB0A">
                  <w:pPr>
                    <w:jc w:val="center"/>
                  </w:pPr>
                  <w:r>
                    <w:rPr>
                      <w:rFonts w:hint="eastAsia"/>
                    </w:rPr>
                    <w:t>/</w:t>
                  </w:r>
                </w:p>
              </w:tc>
              <w:tc>
                <w:tcPr>
                  <w:tcW w:w="450" w:type="pct"/>
                  <w:vAlign w:val="center"/>
                </w:tcPr>
                <w:p w14:paraId="7E84E971">
                  <w:pPr>
                    <w:jc w:val="center"/>
                  </w:pPr>
                  <w:r>
                    <w:rPr>
                      <w:rFonts w:hint="eastAsia"/>
                    </w:rPr>
                    <w:t>2套</w:t>
                  </w:r>
                </w:p>
              </w:tc>
            </w:tr>
            <w:tr w14:paraId="7446A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34AAC988">
                  <w:pPr>
                    <w:adjustRightInd w:val="0"/>
                    <w:snapToGrid w:val="0"/>
                    <w:jc w:val="center"/>
                    <w:rPr>
                      <w:color w:val="000000"/>
                      <w:szCs w:val="21"/>
                    </w:rPr>
                  </w:pPr>
                  <w:r>
                    <w:rPr>
                      <w:rFonts w:hint="eastAsia"/>
                      <w:color w:val="000000"/>
                      <w:szCs w:val="21"/>
                    </w:rPr>
                    <w:t>29</w:t>
                  </w:r>
                </w:p>
              </w:tc>
              <w:tc>
                <w:tcPr>
                  <w:tcW w:w="429" w:type="pct"/>
                  <w:vMerge w:val="restart"/>
                  <w:vAlign w:val="center"/>
                </w:tcPr>
                <w:p w14:paraId="17024079">
                  <w:pPr>
                    <w:widowControl/>
                    <w:adjustRightInd w:val="0"/>
                    <w:snapToGrid w:val="0"/>
                    <w:jc w:val="center"/>
                    <w:rPr>
                      <w:color w:val="000000"/>
                      <w:kern w:val="0"/>
                      <w:szCs w:val="21"/>
                    </w:rPr>
                  </w:pPr>
                  <w:r>
                    <w:rPr>
                      <w:rFonts w:hint="eastAsia"/>
                      <w:color w:val="000000"/>
                      <w:kern w:val="0"/>
                      <w:szCs w:val="21"/>
                    </w:rPr>
                    <w:t>粉料系统</w:t>
                  </w:r>
                </w:p>
              </w:tc>
              <w:tc>
                <w:tcPr>
                  <w:tcW w:w="1096" w:type="pct"/>
                  <w:vAlign w:val="center"/>
                </w:tcPr>
                <w:p w14:paraId="4C70222C">
                  <w:pPr>
                    <w:widowControl/>
                    <w:adjustRightInd w:val="0"/>
                    <w:snapToGrid w:val="0"/>
                    <w:jc w:val="center"/>
                    <w:rPr>
                      <w:color w:val="000000"/>
                      <w:kern w:val="0"/>
                      <w:szCs w:val="21"/>
                    </w:rPr>
                  </w:pPr>
                  <w:r>
                    <w:rPr>
                      <w:rFonts w:hint="eastAsia"/>
                      <w:color w:val="000000"/>
                      <w:kern w:val="0"/>
                      <w:szCs w:val="21"/>
                    </w:rPr>
                    <w:t>粉仓专用料位计</w:t>
                  </w:r>
                </w:p>
              </w:tc>
              <w:tc>
                <w:tcPr>
                  <w:tcW w:w="2584" w:type="pct"/>
                  <w:vAlign w:val="center"/>
                </w:tcPr>
                <w:p w14:paraId="04DBBF04">
                  <w:pPr>
                    <w:jc w:val="center"/>
                  </w:pPr>
                  <w:r>
                    <w:rPr>
                      <w:rFonts w:hint="eastAsia"/>
                    </w:rPr>
                    <w:t>/</w:t>
                  </w:r>
                </w:p>
              </w:tc>
              <w:tc>
                <w:tcPr>
                  <w:tcW w:w="450" w:type="pct"/>
                  <w:vAlign w:val="center"/>
                </w:tcPr>
                <w:p w14:paraId="7D3BA56F">
                  <w:pPr>
                    <w:jc w:val="center"/>
                  </w:pPr>
                  <w:r>
                    <w:rPr>
                      <w:rFonts w:hint="eastAsia"/>
                    </w:rPr>
                    <w:t>3套</w:t>
                  </w:r>
                </w:p>
              </w:tc>
            </w:tr>
            <w:tr w14:paraId="2AFAD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54A47C32">
                  <w:pPr>
                    <w:adjustRightInd w:val="0"/>
                    <w:snapToGrid w:val="0"/>
                    <w:jc w:val="center"/>
                    <w:rPr>
                      <w:color w:val="000000"/>
                      <w:szCs w:val="21"/>
                    </w:rPr>
                  </w:pPr>
                  <w:r>
                    <w:rPr>
                      <w:rFonts w:hint="eastAsia"/>
                      <w:color w:val="000000"/>
                      <w:szCs w:val="21"/>
                    </w:rPr>
                    <w:t>30</w:t>
                  </w:r>
                </w:p>
              </w:tc>
              <w:tc>
                <w:tcPr>
                  <w:tcW w:w="429" w:type="pct"/>
                  <w:vMerge w:val="continue"/>
                  <w:vAlign w:val="center"/>
                </w:tcPr>
                <w:p w14:paraId="453D7EAD">
                  <w:pPr>
                    <w:widowControl/>
                    <w:adjustRightInd w:val="0"/>
                    <w:snapToGrid w:val="0"/>
                    <w:jc w:val="center"/>
                    <w:rPr>
                      <w:color w:val="000000"/>
                      <w:kern w:val="0"/>
                      <w:szCs w:val="21"/>
                    </w:rPr>
                  </w:pPr>
                </w:p>
              </w:tc>
              <w:tc>
                <w:tcPr>
                  <w:tcW w:w="1096" w:type="pct"/>
                  <w:vAlign w:val="center"/>
                </w:tcPr>
                <w:p w14:paraId="63319DFE">
                  <w:pPr>
                    <w:widowControl/>
                    <w:adjustRightInd w:val="0"/>
                    <w:snapToGrid w:val="0"/>
                    <w:jc w:val="center"/>
                    <w:rPr>
                      <w:color w:val="000000"/>
                      <w:kern w:val="0"/>
                      <w:szCs w:val="21"/>
                    </w:rPr>
                  </w:pPr>
                  <w:r>
                    <w:rPr>
                      <w:rFonts w:hint="eastAsia"/>
                      <w:color w:val="000000"/>
                      <w:kern w:val="0"/>
                      <w:szCs w:val="21"/>
                    </w:rPr>
                    <w:t>粉仓除尘器</w:t>
                  </w:r>
                </w:p>
              </w:tc>
              <w:tc>
                <w:tcPr>
                  <w:tcW w:w="2584" w:type="pct"/>
                  <w:vAlign w:val="center"/>
                </w:tcPr>
                <w:p w14:paraId="01870FBD">
                  <w:pPr>
                    <w:jc w:val="center"/>
                  </w:pPr>
                  <w:r>
                    <w:rPr>
                      <w:rFonts w:hint="eastAsia"/>
                      <w:color w:val="000000"/>
                      <w:szCs w:val="21"/>
                    </w:rPr>
                    <w:t>布袋除尘器，处理风量：2100m</w:t>
                  </w:r>
                  <w:r>
                    <w:rPr>
                      <w:rFonts w:hint="eastAsia"/>
                      <w:color w:val="000000"/>
                      <w:szCs w:val="21"/>
                      <w:vertAlign w:val="superscript"/>
                    </w:rPr>
                    <w:t>3</w:t>
                  </w:r>
                  <w:r>
                    <w:rPr>
                      <w:rFonts w:hint="eastAsia"/>
                      <w:color w:val="000000"/>
                      <w:szCs w:val="21"/>
                    </w:rPr>
                    <w:t>/h，P=</w:t>
                  </w:r>
                  <w:r>
                    <w:rPr>
                      <w:color w:val="000000"/>
                      <w:szCs w:val="21"/>
                    </w:rPr>
                    <w:t>2.2</w:t>
                  </w:r>
                  <w:r>
                    <w:rPr>
                      <w:rFonts w:hint="eastAsia"/>
                      <w:color w:val="000000"/>
                      <w:szCs w:val="21"/>
                    </w:rPr>
                    <w:t>KW</w:t>
                  </w:r>
                </w:p>
              </w:tc>
              <w:tc>
                <w:tcPr>
                  <w:tcW w:w="450" w:type="pct"/>
                  <w:vAlign w:val="center"/>
                </w:tcPr>
                <w:p w14:paraId="35737FCE">
                  <w:pPr>
                    <w:jc w:val="center"/>
                  </w:pPr>
                  <w:r>
                    <w:t>3</w:t>
                  </w:r>
                  <w:r>
                    <w:rPr>
                      <w:rFonts w:hint="eastAsia"/>
                    </w:rPr>
                    <w:t>套</w:t>
                  </w:r>
                </w:p>
              </w:tc>
            </w:tr>
            <w:tr w14:paraId="6F7A6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74855C16">
                  <w:pPr>
                    <w:adjustRightInd w:val="0"/>
                    <w:snapToGrid w:val="0"/>
                    <w:jc w:val="center"/>
                    <w:rPr>
                      <w:color w:val="000000"/>
                      <w:szCs w:val="21"/>
                    </w:rPr>
                  </w:pPr>
                  <w:r>
                    <w:rPr>
                      <w:rFonts w:hint="eastAsia"/>
                      <w:color w:val="000000"/>
                      <w:szCs w:val="21"/>
                    </w:rPr>
                    <w:t>31</w:t>
                  </w:r>
                </w:p>
              </w:tc>
              <w:tc>
                <w:tcPr>
                  <w:tcW w:w="429" w:type="pct"/>
                  <w:vMerge w:val="continue"/>
                  <w:vAlign w:val="center"/>
                </w:tcPr>
                <w:p w14:paraId="3B2A9F8B">
                  <w:pPr>
                    <w:widowControl/>
                    <w:adjustRightInd w:val="0"/>
                    <w:snapToGrid w:val="0"/>
                    <w:jc w:val="center"/>
                    <w:rPr>
                      <w:color w:val="000000"/>
                      <w:kern w:val="0"/>
                      <w:szCs w:val="21"/>
                    </w:rPr>
                  </w:pPr>
                </w:p>
              </w:tc>
              <w:tc>
                <w:tcPr>
                  <w:tcW w:w="1096" w:type="pct"/>
                  <w:vAlign w:val="center"/>
                </w:tcPr>
                <w:p w14:paraId="6D377288">
                  <w:pPr>
                    <w:widowControl/>
                    <w:adjustRightInd w:val="0"/>
                    <w:snapToGrid w:val="0"/>
                    <w:jc w:val="center"/>
                    <w:rPr>
                      <w:color w:val="000000"/>
                      <w:kern w:val="0"/>
                      <w:szCs w:val="21"/>
                    </w:rPr>
                  </w:pPr>
                  <w:r>
                    <w:rPr>
                      <w:rFonts w:hint="eastAsia"/>
                      <w:color w:val="000000"/>
                      <w:kern w:val="0"/>
                      <w:szCs w:val="21"/>
                    </w:rPr>
                    <w:t>螺旋机</w:t>
                  </w:r>
                </w:p>
              </w:tc>
              <w:tc>
                <w:tcPr>
                  <w:tcW w:w="2584" w:type="pct"/>
                  <w:vAlign w:val="center"/>
                </w:tcPr>
                <w:p w14:paraId="0331BFD9">
                  <w:pPr>
                    <w:jc w:val="center"/>
                  </w:pPr>
                  <w:r>
                    <w:rPr>
                      <w:rFonts w:hint="eastAsia"/>
                    </w:rPr>
                    <w:t>DIN273螺旋机，P=11KW</w:t>
                  </w:r>
                </w:p>
              </w:tc>
              <w:tc>
                <w:tcPr>
                  <w:tcW w:w="450" w:type="pct"/>
                  <w:vAlign w:val="center"/>
                </w:tcPr>
                <w:p w14:paraId="2699A5CD">
                  <w:pPr>
                    <w:jc w:val="center"/>
                  </w:pPr>
                  <w:r>
                    <w:rPr>
                      <w:rFonts w:hint="eastAsia"/>
                    </w:rPr>
                    <w:t>3套</w:t>
                  </w:r>
                </w:p>
              </w:tc>
            </w:tr>
            <w:tr w14:paraId="192C1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458BD099">
                  <w:pPr>
                    <w:adjustRightInd w:val="0"/>
                    <w:snapToGrid w:val="0"/>
                    <w:jc w:val="center"/>
                    <w:rPr>
                      <w:color w:val="000000"/>
                      <w:szCs w:val="21"/>
                    </w:rPr>
                  </w:pPr>
                  <w:r>
                    <w:rPr>
                      <w:rFonts w:hint="eastAsia"/>
                      <w:color w:val="000000"/>
                      <w:szCs w:val="21"/>
                    </w:rPr>
                    <w:t>32</w:t>
                  </w:r>
                </w:p>
              </w:tc>
              <w:tc>
                <w:tcPr>
                  <w:tcW w:w="429" w:type="pct"/>
                  <w:vMerge w:val="restart"/>
                  <w:vAlign w:val="center"/>
                </w:tcPr>
                <w:p w14:paraId="1FCE50D4">
                  <w:pPr>
                    <w:widowControl/>
                    <w:adjustRightInd w:val="0"/>
                    <w:snapToGrid w:val="0"/>
                    <w:jc w:val="center"/>
                    <w:rPr>
                      <w:color w:val="000000"/>
                      <w:kern w:val="0"/>
                      <w:szCs w:val="21"/>
                    </w:rPr>
                  </w:pPr>
                  <w:r>
                    <w:rPr>
                      <w:rFonts w:hint="eastAsia"/>
                      <w:color w:val="000000"/>
                      <w:kern w:val="0"/>
                      <w:szCs w:val="21"/>
                    </w:rPr>
                    <w:t>成品仓系统</w:t>
                  </w:r>
                </w:p>
              </w:tc>
              <w:tc>
                <w:tcPr>
                  <w:tcW w:w="1096" w:type="pct"/>
                  <w:vAlign w:val="center"/>
                </w:tcPr>
                <w:p w14:paraId="48FFA749">
                  <w:pPr>
                    <w:widowControl/>
                    <w:adjustRightInd w:val="0"/>
                    <w:snapToGrid w:val="0"/>
                    <w:jc w:val="center"/>
                    <w:rPr>
                      <w:color w:val="000000"/>
                      <w:kern w:val="0"/>
                      <w:szCs w:val="21"/>
                    </w:rPr>
                  </w:pPr>
                  <w:r>
                    <w:rPr>
                      <w:rFonts w:hint="eastAsia"/>
                      <w:color w:val="000000"/>
                      <w:kern w:val="0"/>
                      <w:szCs w:val="21"/>
                    </w:rPr>
                    <w:t>密封螺旋机</w:t>
                  </w:r>
                </w:p>
              </w:tc>
              <w:tc>
                <w:tcPr>
                  <w:tcW w:w="2584" w:type="pct"/>
                  <w:vAlign w:val="center"/>
                </w:tcPr>
                <w:p w14:paraId="12C1864C">
                  <w:pPr>
                    <w:jc w:val="center"/>
                  </w:pPr>
                  <w:r>
                    <w:rPr>
                      <w:rFonts w:hint="eastAsia"/>
                    </w:rPr>
                    <w:t>ULS400密封螺旋机，P=5.5KW</w:t>
                  </w:r>
                </w:p>
              </w:tc>
              <w:tc>
                <w:tcPr>
                  <w:tcW w:w="450" w:type="pct"/>
                  <w:vAlign w:val="center"/>
                </w:tcPr>
                <w:p w14:paraId="2549BEDE">
                  <w:pPr>
                    <w:jc w:val="center"/>
                  </w:pPr>
                  <w:r>
                    <w:rPr>
                      <w:rFonts w:hint="eastAsia"/>
                    </w:rPr>
                    <w:t>1套</w:t>
                  </w:r>
                </w:p>
              </w:tc>
            </w:tr>
            <w:tr w14:paraId="67BA1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1" w:type="pct"/>
                  <w:vAlign w:val="center"/>
                </w:tcPr>
                <w:p w14:paraId="4BD73439">
                  <w:pPr>
                    <w:adjustRightInd w:val="0"/>
                    <w:snapToGrid w:val="0"/>
                    <w:jc w:val="center"/>
                    <w:rPr>
                      <w:color w:val="000000"/>
                      <w:szCs w:val="21"/>
                    </w:rPr>
                  </w:pPr>
                  <w:r>
                    <w:rPr>
                      <w:rFonts w:hint="eastAsia"/>
                      <w:color w:val="000000"/>
                      <w:szCs w:val="21"/>
                    </w:rPr>
                    <w:t>33</w:t>
                  </w:r>
                </w:p>
              </w:tc>
              <w:tc>
                <w:tcPr>
                  <w:tcW w:w="429" w:type="pct"/>
                  <w:vMerge w:val="continue"/>
                  <w:vAlign w:val="center"/>
                </w:tcPr>
                <w:p w14:paraId="19FB4434">
                  <w:pPr>
                    <w:widowControl/>
                    <w:adjustRightInd w:val="0"/>
                    <w:snapToGrid w:val="0"/>
                    <w:jc w:val="center"/>
                    <w:rPr>
                      <w:color w:val="000000"/>
                      <w:kern w:val="0"/>
                      <w:szCs w:val="21"/>
                    </w:rPr>
                  </w:pPr>
                </w:p>
              </w:tc>
              <w:tc>
                <w:tcPr>
                  <w:tcW w:w="1096" w:type="pct"/>
                  <w:vAlign w:val="center"/>
                </w:tcPr>
                <w:p w14:paraId="57743C08">
                  <w:pPr>
                    <w:widowControl/>
                    <w:adjustRightInd w:val="0"/>
                    <w:snapToGrid w:val="0"/>
                    <w:jc w:val="center"/>
                    <w:rPr>
                      <w:color w:val="000000"/>
                      <w:kern w:val="0"/>
                      <w:szCs w:val="21"/>
                    </w:rPr>
                  </w:pPr>
                  <w:r>
                    <w:rPr>
                      <w:rFonts w:hint="eastAsia"/>
                      <w:color w:val="000000"/>
                      <w:kern w:val="0"/>
                      <w:szCs w:val="21"/>
                    </w:rPr>
                    <w:t>提升机</w:t>
                  </w:r>
                </w:p>
              </w:tc>
              <w:tc>
                <w:tcPr>
                  <w:tcW w:w="2584" w:type="pct"/>
                  <w:vAlign w:val="center"/>
                </w:tcPr>
                <w:p w14:paraId="212FE124">
                  <w:pPr>
                    <w:jc w:val="center"/>
                  </w:pPr>
                  <w:r>
                    <w:rPr>
                      <w:rFonts w:hint="eastAsia"/>
                    </w:rPr>
                    <w:t>NE100斗提机约</w:t>
                  </w:r>
                  <w:r>
                    <w:t>24m</w:t>
                  </w:r>
                  <w:r>
                    <w:rPr>
                      <w:rFonts w:hint="eastAsia"/>
                    </w:rPr>
                    <w:t>，</w:t>
                  </w:r>
                  <w:r>
                    <w:t>P=18.5KW</w:t>
                  </w:r>
                  <w:r>
                    <w:rPr>
                      <w:rFonts w:hint="eastAsia"/>
                    </w:rPr>
                    <w:t>，辅助传动P=3KW</w:t>
                  </w:r>
                </w:p>
              </w:tc>
              <w:tc>
                <w:tcPr>
                  <w:tcW w:w="450" w:type="pct"/>
                  <w:vAlign w:val="center"/>
                </w:tcPr>
                <w:p w14:paraId="44DCDA93">
                  <w:pPr>
                    <w:jc w:val="center"/>
                  </w:pPr>
                  <w:r>
                    <w:t>1</w:t>
                  </w:r>
                  <w:r>
                    <w:rPr>
                      <w:rFonts w:hint="eastAsia"/>
                    </w:rPr>
                    <w:t>套</w:t>
                  </w:r>
                </w:p>
              </w:tc>
            </w:tr>
            <w:tr w14:paraId="500EC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6841C60A">
                  <w:pPr>
                    <w:adjustRightInd w:val="0"/>
                    <w:snapToGrid w:val="0"/>
                    <w:jc w:val="center"/>
                    <w:rPr>
                      <w:color w:val="000000"/>
                      <w:szCs w:val="21"/>
                    </w:rPr>
                  </w:pPr>
                  <w:r>
                    <w:rPr>
                      <w:rFonts w:hint="eastAsia"/>
                      <w:color w:val="000000"/>
                      <w:szCs w:val="21"/>
                    </w:rPr>
                    <w:t>34</w:t>
                  </w:r>
                </w:p>
              </w:tc>
              <w:tc>
                <w:tcPr>
                  <w:tcW w:w="429" w:type="pct"/>
                  <w:vMerge w:val="continue"/>
                  <w:vAlign w:val="center"/>
                </w:tcPr>
                <w:p w14:paraId="3E5754F6">
                  <w:pPr>
                    <w:widowControl/>
                    <w:adjustRightInd w:val="0"/>
                    <w:snapToGrid w:val="0"/>
                    <w:jc w:val="center"/>
                    <w:rPr>
                      <w:color w:val="000000"/>
                      <w:kern w:val="0"/>
                      <w:szCs w:val="21"/>
                    </w:rPr>
                  </w:pPr>
                </w:p>
              </w:tc>
              <w:tc>
                <w:tcPr>
                  <w:tcW w:w="1096" w:type="pct"/>
                  <w:vAlign w:val="center"/>
                </w:tcPr>
                <w:p w14:paraId="3763275A">
                  <w:pPr>
                    <w:widowControl/>
                    <w:adjustRightInd w:val="0"/>
                    <w:snapToGrid w:val="0"/>
                    <w:jc w:val="center"/>
                    <w:rPr>
                      <w:color w:val="000000"/>
                      <w:kern w:val="0"/>
                      <w:szCs w:val="21"/>
                    </w:rPr>
                  </w:pPr>
                  <w:r>
                    <w:rPr>
                      <w:rFonts w:hint="eastAsia"/>
                      <w:color w:val="000000"/>
                      <w:kern w:val="0"/>
                      <w:szCs w:val="21"/>
                    </w:rPr>
                    <w:t>仓顶除尘器</w:t>
                  </w:r>
                </w:p>
              </w:tc>
              <w:tc>
                <w:tcPr>
                  <w:tcW w:w="2584" w:type="pct"/>
                  <w:vAlign w:val="center"/>
                </w:tcPr>
                <w:p w14:paraId="71E97432">
                  <w:pPr>
                    <w:adjustRightInd w:val="0"/>
                    <w:snapToGrid w:val="0"/>
                    <w:jc w:val="center"/>
                    <w:rPr>
                      <w:color w:val="000000"/>
                      <w:kern w:val="0"/>
                      <w:szCs w:val="21"/>
                    </w:rPr>
                  </w:pPr>
                  <w:r>
                    <w:rPr>
                      <w:rFonts w:hint="eastAsia"/>
                      <w:color w:val="000000"/>
                      <w:szCs w:val="21"/>
                    </w:rPr>
                    <w:t>布袋除尘器，处理风量：</w:t>
                  </w:r>
                  <w:r>
                    <w:rPr>
                      <w:color w:val="000000"/>
                      <w:szCs w:val="21"/>
                    </w:rPr>
                    <w:t>2160-4320</w:t>
                  </w:r>
                  <w:r>
                    <w:rPr>
                      <w:rFonts w:hint="eastAsia"/>
                      <w:color w:val="000000"/>
                      <w:szCs w:val="21"/>
                    </w:rPr>
                    <w:t>m</w:t>
                  </w:r>
                  <w:r>
                    <w:rPr>
                      <w:rFonts w:hint="eastAsia"/>
                      <w:color w:val="000000"/>
                      <w:szCs w:val="21"/>
                      <w:vertAlign w:val="superscript"/>
                    </w:rPr>
                    <w:t>3</w:t>
                  </w:r>
                  <w:r>
                    <w:rPr>
                      <w:rFonts w:hint="eastAsia"/>
                      <w:color w:val="000000"/>
                      <w:szCs w:val="21"/>
                    </w:rPr>
                    <w:t>/h，P=</w:t>
                  </w:r>
                  <w:r>
                    <w:rPr>
                      <w:color w:val="000000"/>
                      <w:szCs w:val="21"/>
                    </w:rPr>
                    <w:t>3</w:t>
                  </w:r>
                  <w:r>
                    <w:rPr>
                      <w:rFonts w:hint="eastAsia"/>
                      <w:color w:val="000000"/>
                      <w:szCs w:val="21"/>
                    </w:rPr>
                    <w:t>KW</w:t>
                  </w:r>
                </w:p>
              </w:tc>
              <w:tc>
                <w:tcPr>
                  <w:tcW w:w="450" w:type="pct"/>
                  <w:vAlign w:val="center"/>
                </w:tcPr>
                <w:p w14:paraId="241B8D77">
                  <w:pPr>
                    <w:adjustRightInd w:val="0"/>
                    <w:snapToGrid w:val="0"/>
                    <w:jc w:val="center"/>
                    <w:rPr>
                      <w:color w:val="000000"/>
                      <w:szCs w:val="21"/>
                    </w:rPr>
                  </w:pPr>
                  <w:r>
                    <w:rPr>
                      <w:rFonts w:hint="eastAsia"/>
                      <w:color w:val="000000"/>
                      <w:szCs w:val="21"/>
                    </w:rPr>
                    <w:t>1套</w:t>
                  </w:r>
                </w:p>
              </w:tc>
            </w:tr>
            <w:tr w14:paraId="463A0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61CB072F">
                  <w:pPr>
                    <w:adjustRightInd w:val="0"/>
                    <w:snapToGrid w:val="0"/>
                    <w:jc w:val="center"/>
                    <w:rPr>
                      <w:color w:val="000000"/>
                      <w:szCs w:val="21"/>
                    </w:rPr>
                  </w:pPr>
                  <w:r>
                    <w:rPr>
                      <w:rFonts w:hint="eastAsia"/>
                      <w:color w:val="000000"/>
                      <w:szCs w:val="21"/>
                    </w:rPr>
                    <w:t>35</w:t>
                  </w:r>
                </w:p>
              </w:tc>
              <w:tc>
                <w:tcPr>
                  <w:tcW w:w="429" w:type="pct"/>
                  <w:vMerge w:val="continue"/>
                  <w:vAlign w:val="center"/>
                </w:tcPr>
                <w:p w14:paraId="44DF6EDD">
                  <w:pPr>
                    <w:widowControl/>
                    <w:adjustRightInd w:val="0"/>
                    <w:snapToGrid w:val="0"/>
                    <w:jc w:val="center"/>
                    <w:rPr>
                      <w:color w:val="000000"/>
                      <w:kern w:val="0"/>
                      <w:szCs w:val="21"/>
                    </w:rPr>
                  </w:pPr>
                </w:p>
              </w:tc>
              <w:tc>
                <w:tcPr>
                  <w:tcW w:w="1096" w:type="pct"/>
                  <w:vAlign w:val="center"/>
                </w:tcPr>
                <w:p w14:paraId="4AACF77D">
                  <w:pPr>
                    <w:widowControl/>
                    <w:adjustRightInd w:val="0"/>
                    <w:snapToGrid w:val="0"/>
                    <w:jc w:val="center"/>
                    <w:rPr>
                      <w:color w:val="000000"/>
                      <w:kern w:val="0"/>
                      <w:szCs w:val="21"/>
                    </w:rPr>
                  </w:pPr>
                  <w:r>
                    <w:rPr>
                      <w:rFonts w:hint="eastAsia"/>
                      <w:color w:val="000000"/>
                      <w:kern w:val="0"/>
                      <w:szCs w:val="21"/>
                    </w:rPr>
                    <w:t>散装除尘器</w:t>
                  </w:r>
                </w:p>
              </w:tc>
              <w:tc>
                <w:tcPr>
                  <w:tcW w:w="2584" w:type="pct"/>
                  <w:vAlign w:val="center"/>
                </w:tcPr>
                <w:p w14:paraId="689F6321">
                  <w:pPr>
                    <w:adjustRightInd w:val="0"/>
                    <w:snapToGrid w:val="0"/>
                    <w:jc w:val="center"/>
                    <w:rPr>
                      <w:color w:val="000000"/>
                      <w:kern w:val="0"/>
                      <w:szCs w:val="21"/>
                    </w:rPr>
                  </w:pPr>
                  <w:r>
                    <w:rPr>
                      <w:rFonts w:hint="eastAsia"/>
                      <w:color w:val="000000"/>
                      <w:szCs w:val="21"/>
                    </w:rPr>
                    <w:t>布袋除尘器，处理风量：</w:t>
                  </w:r>
                  <w:r>
                    <w:rPr>
                      <w:color w:val="000000"/>
                      <w:szCs w:val="21"/>
                    </w:rPr>
                    <w:t>2160-4320</w:t>
                  </w:r>
                  <w:r>
                    <w:rPr>
                      <w:rFonts w:hint="eastAsia"/>
                      <w:color w:val="000000"/>
                      <w:szCs w:val="21"/>
                    </w:rPr>
                    <w:t>m</w:t>
                  </w:r>
                  <w:r>
                    <w:rPr>
                      <w:rFonts w:hint="eastAsia"/>
                      <w:color w:val="000000"/>
                      <w:szCs w:val="21"/>
                      <w:vertAlign w:val="superscript"/>
                    </w:rPr>
                    <w:t>3</w:t>
                  </w:r>
                  <w:r>
                    <w:rPr>
                      <w:rFonts w:hint="eastAsia"/>
                      <w:color w:val="000000"/>
                      <w:szCs w:val="21"/>
                    </w:rPr>
                    <w:t>/h，P=</w:t>
                  </w:r>
                  <w:r>
                    <w:rPr>
                      <w:color w:val="000000"/>
                      <w:szCs w:val="21"/>
                    </w:rPr>
                    <w:t>3</w:t>
                  </w:r>
                  <w:r>
                    <w:rPr>
                      <w:rFonts w:hint="eastAsia"/>
                      <w:color w:val="000000"/>
                      <w:szCs w:val="21"/>
                    </w:rPr>
                    <w:t>KW</w:t>
                  </w:r>
                </w:p>
              </w:tc>
              <w:tc>
                <w:tcPr>
                  <w:tcW w:w="450" w:type="pct"/>
                  <w:vAlign w:val="center"/>
                </w:tcPr>
                <w:p w14:paraId="45AAD855">
                  <w:pPr>
                    <w:adjustRightInd w:val="0"/>
                    <w:snapToGrid w:val="0"/>
                    <w:jc w:val="center"/>
                    <w:rPr>
                      <w:color w:val="000000"/>
                      <w:szCs w:val="21"/>
                    </w:rPr>
                  </w:pPr>
                  <w:r>
                    <w:rPr>
                      <w:rFonts w:hint="eastAsia"/>
                      <w:color w:val="000000"/>
                      <w:szCs w:val="21"/>
                    </w:rPr>
                    <w:t>1套</w:t>
                  </w:r>
                </w:p>
              </w:tc>
            </w:tr>
            <w:tr w14:paraId="5C33B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3BDABFF3">
                  <w:pPr>
                    <w:adjustRightInd w:val="0"/>
                    <w:snapToGrid w:val="0"/>
                    <w:jc w:val="center"/>
                    <w:rPr>
                      <w:color w:val="000000"/>
                      <w:szCs w:val="21"/>
                    </w:rPr>
                  </w:pPr>
                  <w:r>
                    <w:rPr>
                      <w:rFonts w:hint="eastAsia"/>
                      <w:color w:val="000000"/>
                      <w:szCs w:val="21"/>
                    </w:rPr>
                    <w:t>36</w:t>
                  </w:r>
                </w:p>
              </w:tc>
              <w:tc>
                <w:tcPr>
                  <w:tcW w:w="429" w:type="pct"/>
                  <w:vMerge w:val="restart"/>
                  <w:vAlign w:val="center"/>
                </w:tcPr>
                <w:p w14:paraId="520293EF">
                  <w:pPr>
                    <w:widowControl/>
                    <w:adjustRightInd w:val="0"/>
                    <w:snapToGrid w:val="0"/>
                    <w:jc w:val="center"/>
                    <w:rPr>
                      <w:color w:val="000000"/>
                      <w:kern w:val="0"/>
                      <w:szCs w:val="21"/>
                    </w:rPr>
                  </w:pPr>
                  <w:r>
                    <w:rPr>
                      <w:rFonts w:hint="eastAsia"/>
                      <w:color w:val="000000"/>
                      <w:kern w:val="0"/>
                      <w:szCs w:val="21"/>
                    </w:rPr>
                    <w:t>控制系统</w:t>
                  </w:r>
                </w:p>
              </w:tc>
              <w:tc>
                <w:tcPr>
                  <w:tcW w:w="3680" w:type="pct"/>
                  <w:gridSpan w:val="2"/>
                  <w:vAlign w:val="center"/>
                </w:tcPr>
                <w:p w14:paraId="47F21CAD">
                  <w:pPr>
                    <w:jc w:val="center"/>
                  </w:pPr>
                  <w:r>
                    <w:rPr>
                      <w:rFonts w:hint="eastAsia"/>
                    </w:rPr>
                    <w:t>控制系统强电柜</w:t>
                  </w:r>
                </w:p>
              </w:tc>
              <w:tc>
                <w:tcPr>
                  <w:tcW w:w="450" w:type="pct"/>
                  <w:vAlign w:val="center"/>
                </w:tcPr>
                <w:p w14:paraId="2E43056C">
                  <w:pPr>
                    <w:jc w:val="center"/>
                  </w:pPr>
                  <w:r>
                    <w:rPr>
                      <w:rFonts w:hint="eastAsia"/>
                    </w:rPr>
                    <w:t>1套</w:t>
                  </w:r>
                </w:p>
              </w:tc>
            </w:tr>
            <w:tr w14:paraId="1D3F6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47A471BA">
                  <w:pPr>
                    <w:adjustRightInd w:val="0"/>
                    <w:snapToGrid w:val="0"/>
                    <w:jc w:val="center"/>
                    <w:rPr>
                      <w:color w:val="000000"/>
                      <w:szCs w:val="21"/>
                    </w:rPr>
                  </w:pPr>
                  <w:r>
                    <w:rPr>
                      <w:rFonts w:hint="eastAsia"/>
                      <w:color w:val="000000"/>
                      <w:szCs w:val="21"/>
                    </w:rPr>
                    <w:t>37</w:t>
                  </w:r>
                </w:p>
              </w:tc>
              <w:tc>
                <w:tcPr>
                  <w:tcW w:w="429" w:type="pct"/>
                  <w:vMerge w:val="continue"/>
                  <w:vAlign w:val="center"/>
                </w:tcPr>
                <w:p w14:paraId="0AABCBBC">
                  <w:pPr>
                    <w:widowControl/>
                    <w:adjustRightInd w:val="0"/>
                    <w:snapToGrid w:val="0"/>
                    <w:jc w:val="center"/>
                    <w:rPr>
                      <w:color w:val="000000"/>
                      <w:kern w:val="0"/>
                      <w:szCs w:val="21"/>
                    </w:rPr>
                  </w:pPr>
                </w:p>
              </w:tc>
              <w:tc>
                <w:tcPr>
                  <w:tcW w:w="3680" w:type="pct"/>
                  <w:gridSpan w:val="2"/>
                  <w:vAlign w:val="center"/>
                </w:tcPr>
                <w:p w14:paraId="7BB392A2">
                  <w:pPr>
                    <w:jc w:val="center"/>
                  </w:pPr>
                  <w:r>
                    <w:rPr>
                      <w:rFonts w:hint="eastAsia"/>
                    </w:rPr>
                    <w:t>控制系统弱电操作台</w:t>
                  </w:r>
                </w:p>
              </w:tc>
              <w:tc>
                <w:tcPr>
                  <w:tcW w:w="450" w:type="pct"/>
                  <w:vAlign w:val="center"/>
                </w:tcPr>
                <w:p w14:paraId="330D388E">
                  <w:pPr>
                    <w:jc w:val="center"/>
                  </w:pPr>
                  <w:r>
                    <w:rPr>
                      <w:rFonts w:hint="eastAsia"/>
                    </w:rPr>
                    <w:t>1套</w:t>
                  </w:r>
                </w:p>
              </w:tc>
            </w:tr>
            <w:tr w14:paraId="06BFE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23A1449F">
                  <w:pPr>
                    <w:adjustRightInd w:val="0"/>
                    <w:snapToGrid w:val="0"/>
                    <w:jc w:val="center"/>
                    <w:rPr>
                      <w:color w:val="000000"/>
                      <w:szCs w:val="21"/>
                    </w:rPr>
                  </w:pPr>
                  <w:r>
                    <w:rPr>
                      <w:rFonts w:hint="eastAsia"/>
                      <w:color w:val="000000"/>
                      <w:szCs w:val="21"/>
                    </w:rPr>
                    <w:t>38</w:t>
                  </w:r>
                </w:p>
              </w:tc>
              <w:tc>
                <w:tcPr>
                  <w:tcW w:w="429" w:type="pct"/>
                  <w:vMerge w:val="continue"/>
                  <w:vAlign w:val="center"/>
                </w:tcPr>
                <w:p w14:paraId="7CD24E91">
                  <w:pPr>
                    <w:widowControl/>
                    <w:adjustRightInd w:val="0"/>
                    <w:snapToGrid w:val="0"/>
                    <w:jc w:val="center"/>
                    <w:rPr>
                      <w:color w:val="000000"/>
                      <w:kern w:val="0"/>
                      <w:szCs w:val="21"/>
                    </w:rPr>
                  </w:pPr>
                </w:p>
              </w:tc>
              <w:tc>
                <w:tcPr>
                  <w:tcW w:w="3680" w:type="pct"/>
                  <w:gridSpan w:val="2"/>
                  <w:vAlign w:val="center"/>
                </w:tcPr>
                <w:p w14:paraId="2B1D0378">
                  <w:pPr>
                    <w:jc w:val="center"/>
                  </w:pPr>
                  <w:r>
                    <w:rPr>
                      <w:rFonts w:hint="eastAsia"/>
                    </w:rPr>
                    <w:t>全自动控制软件</w:t>
                  </w:r>
                </w:p>
              </w:tc>
              <w:tc>
                <w:tcPr>
                  <w:tcW w:w="450" w:type="pct"/>
                  <w:vAlign w:val="center"/>
                </w:tcPr>
                <w:p w14:paraId="131AD090">
                  <w:pPr>
                    <w:jc w:val="center"/>
                  </w:pPr>
                  <w:r>
                    <w:rPr>
                      <w:rFonts w:hint="eastAsia"/>
                    </w:rPr>
                    <w:t>1套</w:t>
                  </w:r>
                </w:p>
              </w:tc>
            </w:tr>
            <w:tr w14:paraId="59121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0A0543B4">
                  <w:pPr>
                    <w:adjustRightInd w:val="0"/>
                    <w:snapToGrid w:val="0"/>
                    <w:jc w:val="center"/>
                    <w:rPr>
                      <w:color w:val="000000"/>
                      <w:szCs w:val="21"/>
                    </w:rPr>
                  </w:pPr>
                  <w:r>
                    <w:rPr>
                      <w:rFonts w:hint="eastAsia"/>
                      <w:color w:val="000000"/>
                      <w:szCs w:val="21"/>
                    </w:rPr>
                    <w:t>39</w:t>
                  </w:r>
                </w:p>
              </w:tc>
              <w:tc>
                <w:tcPr>
                  <w:tcW w:w="429" w:type="pct"/>
                  <w:vMerge w:val="continue"/>
                  <w:vAlign w:val="center"/>
                </w:tcPr>
                <w:p w14:paraId="07030658">
                  <w:pPr>
                    <w:widowControl/>
                    <w:adjustRightInd w:val="0"/>
                    <w:snapToGrid w:val="0"/>
                    <w:jc w:val="center"/>
                    <w:rPr>
                      <w:color w:val="000000"/>
                      <w:kern w:val="0"/>
                      <w:szCs w:val="21"/>
                    </w:rPr>
                  </w:pPr>
                </w:p>
              </w:tc>
              <w:tc>
                <w:tcPr>
                  <w:tcW w:w="3680" w:type="pct"/>
                  <w:gridSpan w:val="2"/>
                  <w:vAlign w:val="center"/>
                </w:tcPr>
                <w:p w14:paraId="1A17090E">
                  <w:pPr>
                    <w:jc w:val="center"/>
                  </w:pPr>
                  <w:r>
                    <w:rPr>
                      <w:rFonts w:hint="eastAsia"/>
                    </w:rPr>
                    <w:t>主要电气元件</w:t>
                  </w:r>
                </w:p>
              </w:tc>
              <w:tc>
                <w:tcPr>
                  <w:tcW w:w="450" w:type="pct"/>
                  <w:vAlign w:val="center"/>
                </w:tcPr>
                <w:p w14:paraId="00C32293">
                  <w:pPr>
                    <w:jc w:val="center"/>
                  </w:pPr>
                  <w:r>
                    <w:rPr>
                      <w:rFonts w:hint="eastAsia"/>
                    </w:rPr>
                    <w:t>1套</w:t>
                  </w:r>
                </w:p>
              </w:tc>
            </w:tr>
            <w:tr w14:paraId="38F71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25D48C1F">
                  <w:pPr>
                    <w:adjustRightInd w:val="0"/>
                    <w:snapToGrid w:val="0"/>
                    <w:jc w:val="center"/>
                    <w:rPr>
                      <w:color w:val="000000"/>
                      <w:szCs w:val="21"/>
                    </w:rPr>
                  </w:pPr>
                  <w:r>
                    <w:rPr>
                      <w:rFonts w:hint="eastAsia"/>
                      <w:color w:val="000000"/>
                      <w:szCs w:val="21"/>
                    </w:rPr>
                    <w:t>40</w:t>
                  </w:r>
                </w:p>
              </w:tc>
              <w:tc>
                <w:tcPr>
                  <w:tcW w:w="429" w:type="pct"/>
                  <w:vMerge w:val="continue"/>
                  <w:vAlign w:val="center"/>
                </w:tcPr>
                <w:p w14:paraId="66103CE7">
                  <w:pPr>
                    <w:widowControl/>
                    <w:adjustRightInd w:val="0"/>
                    <w:snapToGrid w:val="0"/>
                    <w:jc w:val="center"/>
                    <w:rPr>
                      <w:color w:val="000000"/>
                      <w:kern w:val="0"/>
                      <w:szCs w:val="21"/>
                    </w:rPr>
                  </w:pPr>
                </w:p>
              </w:tc>
              <w:tc>
                <w:tcPr>
                  <w:tcW w:w="3680" w:type="pct"/>
                  <w:gridSpan w:val="2"/>
                  <w:vAlign w:val="center"/>
                </w:tcPr>
                <w:p w14:paraId="17FD5A3D">
                  <w:pPr>
                    <w:jc w:val="center"/>
                  </w:pPr>
                  <w:r>
                    <w:rPr>
                      <w:rFonts w:hint="eastAsia"/>
                    </w:rPr>
                    <w:t>工业计算机</w:t>
                  </w:r>
                </w:p>
              </w:tc>
              <w:tc>
                <w:tcPr>
                  <w:tcW w:w="450" w:type="pct"/>
                  <w:vAlign w:val="center"/>
                </w:tcPr>
                <w:p w14:paraId="6D7B9459">
                  <w:pPr>
                    <w:jc w:val="center"/>
                  </w:pPr>
                  <w:r>
                    <w:rPr>
                      <w:rFonts w:hint="eastAsia"/>
                    </w:rPr>
                    <w:t>1套</w:t>
                  </w:r>
                </w:p>
              </w:tc>
            </w:tr>
            <w:tr w14:paraId="699F1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79631B4A">
                  <w:pPr>
                    <w:adjustRightInd w:val="0"/>
                    <w:snapToGrid w:val="0"/>
                    <w:jc w:val="center"/>
                    <w:rPr>
                      <w:color w:val="000000"/>
                      <w:szCs w:val="21"/>
                    </w:rPr>
                  </w:pPr>
                  <w:r>
                    <w:rPr>
                      <w:rFonts w:hint="eastAsia"/>
                      <w:color w:val="000000"/>
                      <w:szCs w:val="21"/>
                    </w:rPr>
                    <w:t>41</w:t>
                  </w:r>
                </w:p>
              </w:tc>
              <w:tc>
                <w:tcPr>
                  <w:tcW w:w="429" w:type="pct"/>
                  <w:vMerge w:val="continue"/>
                  <w:vAlign w:val="center"/>
                </w:tcPr>
                <w:p w14:paraId="6A1AF0A6">
                  <w:pPr>
                    <w:widowControl/>
                    <w:adjustRightInd w:val="0"/>
                    <w:snapToGrid w:val="0"/>
                    <w:jc w:val="center"/>
                    <w:rPr>
                      <w:color w:val="000000"/>
                      <w:kern w:val="0"/>
                      <w:szCs w:val="21"/>
                    </w:rPr>
                  </w:pPr>
                </w:p>
              </w:tc>
              <w:tc>
                <w:tcPr>
                  <w:tcW w:w="3680" w:type="pct"/>
                  <w:gridSpan w:val="2"/>
                  <w:vAlign w:val="center"/>
                </w:tcPr>
                <w:p w14:paraId="268EF96E">
                  <w:pPr>
                    <w:jc w:val="center"/>
                  </w:pPr>
                  <w:r>
                    <w:rPr>
                      <w:rFonts w:hint="eastAsia"/>
                    </w:rPr>
                    <w:t>打印机</w:t>
                  </w:r>
                </w:p>
              </w:tc>
              <w:tc>
                <w:tcPr>
                  <w:tcW w:w="450" w:type="pct"/>
                  <w:vAlign w:val="center"/>
                </w:tcPr>
                <w:p w14:paraId="5603C4BB">
                  <w:pPr>
                    <w:jc w:val="center"/>
                  </w:pPr>
                  <w:r>
                    <w:rPr>
                      <w:rFonts w:hint="eastAsia"/>
                    </w:rPr>
                    <w:t>1套</w:t>
                  </w:r>
                </w:p>
              </w:tc>
            </w:tr>
            <w:tr w14:paraId="6DE89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17339FB1">
                  <w:pPr>
                    <w:adjustRightInd w:val="0"/>
                    <w:snapToGrid w:val="0"/>
                    <w:jc w:val="center"/>
                    <w:rPr>
                      <w:color w:val="000000"/>
                      <w:szCs w:val="21"/>
                    </w:rPr>
                  </w:pPr>
                  <w:r>
                    <w:rPr>
                      <w:rFonts w:hint="eastAsia"/>
                      <w:color w:val="000000"/>
                      <w:szCs w:val="21"/>
                    </w:rPr>
                    <w:t>42</w:t>
                  </w:r>
                </w:p>
              </w:tc>
              <w:tc>
                <w:tcPr>
                  <w:tcW w:w="429" w:type="pct"/>
                  <w:vMerge w:val="continue"/>
                  <w:vAlign w:val="center"/>
                </w:tcPr>
                <w:p w14:paraId="3281F92E">
                  <w:pPr>
                    <w:widowControl/>
                    <w:adjustRightInd w:val="0"/>
                    <w:snapToGrid w:val="0"/>
                    <w:jc w:val="center"/>
                    <w:rPr>
                      <w:color w:val="000000"/>
                      <w:kern w:val="0"/>
                      <w:szCs w:val="21"/>
                    </w:rPr>
                  </w:pPr>
                </w:p>
              </w:tc>
              <w:tc>
                <w:tcPr>
                  <w:tcW w:w="3680" w:type="pct"/>
                  <w:gridSpan w:val="2"/>
                  <w:vAlign w:val="center"/>
                </w:tcPr>
                <w:p w14:paraId="3F41362C">
                  <w:pPr>
                    <w:jc w:val="center"/>
                  </w:pPr>
                  <w:r>
                    <w:rPr>
                      <w:rFonts w:hint="eastAsia"/>
                    </w:rPr>
                    <w:t>显示器</w:t>
                  </w:r>
                </w:p>
              </w:tc>
              <w:tc>
                <w:tcPr>
                  <w:tcW w:w="450" w:type="pct"/>
                  <w:vAlign w:val="center"/>
                </w:tcPr>
                <w:p w14:paraId="43C8155E">
                  <w:pPr>
                    <w:jc w:val="center"/>
                  </w:pPr>
                  <w:r>
                    <w:rPr>
                      <w:rFonts w:hint="eastAsia"/>
                    </w:rPr>
                    <w:t>1套</w:t>
                  </w:r>
                </w:p>
              </w:tc>
            </w:tr>
            <w:tr w14:paraId="4B22D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Align w:val="center"/>
                </w:tcPr>
                <w:p w14:paraId="0F5F5C74">
                  <w:pPr>
                    <w:adjustRightInd w:val="0"/>
                    <w:snapToGrid w:val="0"/>
                    <w:jc w:val="center"/>
                    <w:rPr>
                      <w:color w:val="000000"/>
                      <w:szCs w:val="21"/>
                    </w:rPr>
                  </w:pPr>
                  <w:r>
                    <w:rPr>
                      <w:rFonts w:hint="eastAsia"/>
                      <w:color w:val="000000"/>
                      <w:szCs w:val="21"/>
                    </w:rPr>
                    <w:t>43</w:t>
                  </w:r>
                </w:p>
              </w:tc>
              <w:tc>
                <w:tcPr>
                  <w:tcW w:w="429" w:type="pct"/>
                  <w:vMerge w:val="continue"/>
                  <w:vAlign w:val="center"/>
                </w:tcPr>
                <w:p w14:paraId="586A91CD">
                  <w:pPr>
                    <w:widowControl/>
                    <w:adjustRightInd w:val="0"/>
                    <w:snapToGrid w:val="0"/>
                    <w:jc w:val="center"/>
                    <w:rPr>
                      <w:color w:val="000000"/>
                      <w:kern w:val="0"/>
                      <w:szCs w:val="21"/>
                    </w:rPr>
                  </w:pPr>
                </w:p>
              </w:tc>
              <w:tc>
                <w:tcPr>
                  <w:tcW w:w="3680" w:type="pct"/>
                  <w:gridSpan w:val="2"/>
                  <w:vAlign w:val="center"/>
                </w:tcPr>
                <w:p w14:paraId="0B684024">
                  <w:pPr>
                    <w:jc w:val="center"/>
                  </w:pPr>
                  <w:r>
                    <w:rPr>
                      <w:rFonts w:hint="eastAsia"/>
                    </w:rPr>
                    <w:t>夜视监控探头</w:t>
                  </w:r>
                </w:p>
              </w:tc>
              <w:tc>
                <w:tcPr>
                  <w:tcW w:w="450" w:type="pct"/>
                  <w:vAlign w:val="center"/>
                </w:tcPr>
                <w:p w14:paraId="39715050">
                  <w:pPr>
                    <w:jc w:val="center"/>
                  </w:pPr>
                  <w:r>
                    <w:rPr>
                      <w:rFonts w:hint="eastAsia"/>
                    </w:rPr>
                    <w:t>8套</w:t>
                  </w:r>
                </w:p>
              </w:tc>
            </w:tr>
            <w:bookmarkEnd w:id="7"/>
          </w:tbl>
          <w:p w14:paraId="3067D181">
            <w:pPr>
              <w:spacing w:before="120" w:beforeLines="50" w:line="360" w:lineRule="auto"/>
              <w:jc w:val="left"/>
              <w:rPr>
                <w:b/>
                <w:color w:val="000000"/>
                <w:sz w:val="24"/>
              </w:rPr>
            </w:pPr>
            <w:bookmarkStart w:id="9" w:name="_Hlk128149866"/>
          </w:p>
          <w:p w14:paraId="13E46A65">
            <w:pPr>
              <w:spacing w:before="120" w:beforeLines="50" w:line="360" w:lineRule="auto"/>
              <w:jc w:val="left"/>
              <w:rPr>
                <w:b/>
                <w:color w:val="000000"/>
                <w:sz w:val="24"/>
              </w:rPr>
            </w:pPr>
            <w:r>
              <w:rPr>
                <w:rFonts w:hint="eastAsia"/>
                <w:b/>
                <w:color w:val="000000"/>
                <w:sz w:val="24"/>
              </w:rPr>
              <w:t>2</w:t>
            </w:r>
            <w:r>
              <w:rPr>
                <w:b/>
                <w:color w:val="000000"/>
                <w:sz w:val="24"/>
              </w:rPr>
              <w:t xml:space="preserve">.4 </w:t>
            </w:r>
            <w:r>
              <w:rPr>
                <w:rFonts w:hint="eastAsia"/>
                <w:b/>
                <w:color w:val="000000"/>
                <w:sz w:val="24"/>
              </w:rPr>
              <w:t>产能分析</w:t>
            </w:r>
          </w:p>
          <w:p w14:paraId="3CD27012">
            <w:pPr>
              <w:spacing w:line="360" w:lineRule="auto"/>
              <w:ind w:firstLine="480" w:firstLineChars="200"/>
              <w:rPr>
                <w:bCs/>
                <w:sz w:val="24"/>
              </w:rPr>
            </w:pPr>
            <w:r>
              <w:rPr>
                <w:rFonts w:hint="eastAsia"/>
                <w:bCs/>
                <w:color w:val="000000"/>
                <w:sz w:val="24"/>
              </w:rPr>
              <w:t>项目年产干粉砂浆2</w:t>
            </w:r>
            <w:r>
              <w:rPr>
                <w:bCs/>
                <w:color w:val="000000"/>
                <w:sz w:val="24"/>
              </w:rPr>
              <w:t>0</w:t>
            </w:r>
            <w:r>
              <w:rPr>
                <w:rFonts w:hint="eastAsia"/>
                <w:bCs/>
                <w:sz w:val="24"/>
              </w:rPr>
              <w:t>万吨，搅拌机设计生产能力最大9</w:t>
            </w:r>
            <w:r>
              <w:rPr>
                <w:bCs/>
                <w:sz w:val="24"/>
              </w:rPr>
              <w:t>0</w:t>
            </w:r>
            <w:r>
              <w:rPr>
                <w:rFonts w:hint="eastAsia"/>
                <w:bCs/>
                <w:sz w:val="24"/>
              </w:rPr>
              <w:t>t/h，全年生产时间为</w:t>
            </w:r>
            <w:r>
              <w:rPr>
                <w:bCs/>
                <w:sz w:val="24"/>
              </w:rPr>
              <w:t>300</w:t>
            </w:r>
            <w:r>
              <w:rPr>
                <w:rFonts w:hint="eastAsia"/>
                <w:bCs/>
                <w:sz w:val="24"/>
              </w:rPr>
              <w:t>d，每天生产8h，年有效生产时间2400h，为间歇式生产。则年最大生产能力为21.6万吨，能够满足项目生产需求。</w:t>
            </w:r>
          </w:p>
          <w:bookmarkEnd w:id="9"/>
          <w:p w14:paraId="70223209">
            <w:pPr>
              <w:spacing w:line="360" w:lineRule="auto"/>
              <w:jc w:val="left"/>
              <w:rPr>
                <w:b/>
                <w:bCs/>
                <w:sz w:val="24"/>
              </w:rPr>
            </w:pPr>
            <w:r>
              <w:rPr>
                <w:b/>
                <w:bCs/>
                <w:sz w:val="24"/>
              </w:rPr>
              <w:t>2.5 产品方案及物料平衡</w:t>
            </w:r>
          </w:p>
          <w:p w14:paraId="6AE678C1">
            <w:pPr>
              <w:spacing w:line="360" w:lineRule="auto"/>
              <w:ind w:firstLine="480" w:firstLineChars="200"/>
              <w:rPr>
                <w:bCs/>
                <w:sz w:val="24"/>
              </w:rPr>
            </w:pPr>
            <w:r>
              <w:rPr>
                <w:bCs/>
                <w:sz w:val="24"/>
              </w:rPr>
              <w:t>生产规模：</w:t>
            </w:r>
            <w:r>
              <w:rPr>
                <w:rFonts w:hint="eastAsia"/>
                <w:bCs/>
                <w:sz w:val="24"/>
              </w:rPr>
              <w:t>年产2</w:t>
            </w:r>
            <w:r>
              <w:rPr>
                <w:bCs/>
                <w:sz w:val="24"/>
              </w:rPr>
              <w:t>0</w:t>
            </w:r>
            <w:r>
              <w:rPr>
                <w:rFonts w:hint="eastAsia"/>
                <w:bCs/>
                <w:sz w:val="24"/>
              </w:rPr>
              <w:t>万吨干粉砂浆，散装比例为90%。其中普通砌筑砂浆和普通抹灰砂浆各生产10万t/a。普通砌筑砂浆用于砖、石块、砌块等的砌筑以及构件安装，普通抹灰砂浆用于墙面、地面、屋面及梁柱结构等表面的抹灰。散装物料经罐车运输，袋装物料采用汽车运输。</w:t>
            </w:r>
          </w:p>
          <w:p w14:paraId="26B37D20">
            <w:pPr>
              <w:spacing w:line="360" w:lineRule="auto"/>
              <w:jc w:val="center"/>
              <w:textAlignment w:val="baseline"/>
              <w:rPr>
                <w:b/>
                <w:szCs w:val="21"/>
              </w:rPr>
            </w:pPr>
            <w:bookmarkStart w:id="10" w:name="_Hlk173942106"/>
            <w:r>
              <w:rPr>
                <w:rFonts w:hint="eastAsia"/>
                <w:b/>
                <w:szCs w:val="21"/>
              </w:rPr>
              <w:t>表</w:t>
            </w:r>
            <w:r>
              <w:rPr>
                <w:b/>
                <w:szCs w:val="21"/>
              </w:rPr>
              <w:t xml:space="preserve">2-4 </w:t>
            </w:r>
            <w:r>
              <w:rPr>
                <w:rFonts w:hint="eastAsia"/>
                <w:b/>
                <w:szCs w:val="21"/>
              </w:rPr>
              <w:t>本项目产品方案一览表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91"/>
              <w:gridCol w:w="2136"/>
              <w:gridCol w:w="1466"/>
              <w:gridCol w:w="1481"/>
              <w:gridCol w:w="1481"/>
            </w:tblGrid>
            <w:tr w14:paraId="6332E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6" w:type="pct"/>
                  <w:vAlign w:val="center"/>
                </w:tcPr>
                <w:p w14:paraId="4ED3F596">
                  <w:pPr>
                    <w:snapToGrid w:val="0"/>
                    <w:jc w:val="center"/>
                    <w:rPr>
                      <w:szCs w:val="21"/>
                    </w:rPr>
                  </w:pPr>
                  <w:r>
                    <w:rPr>
                      <w:rFonts w:hint="eastAsia"/>
                      <w:szCs w:val="21"/>
                    </w:rPr>
                    <w:t>产品名称</w:t>
                  </w:r>
                </w:p>
              </w:tc>
              <w:tc>
                <w:tcPr>
                  <w:tcW w:w="1326" w:type="pct"/>
                  <w:vAlign w:val="center"/>
                </w:tcPr>
                <w:p w14:paraId="44BB789B">
                  <w:pPr>
                    <w:snapToGrid w:val="0"/>
                    <w:jc w:val="center"/>
                    <w:rPr>
                      <w:szCs w:val="21"/>
                    </w:rPr>
                  </w:pPr>
                  <w:r>
                    <w:rPr>
                      <w:rFonts w:hint="eastAsia"/>
                      <w:szCs w:val="21"/>
                    </w:rPr>
                    <w:t>成分</w:t>
                  </w:r>
                </w:p>
              </w:tc>
              <w:tc>
                <w:tcPr>
                  <w:tcW w:w="910" w:type="pct"/>
                  <w:vAlign w:val="center"/>
                </w:tcPr>
                <w:p w14:paraId="670EB057">
                  <w:pPr>
                    <w:snapToGrid w:val="0"/>
                    <w:jc w:val="center"/>
                    <w:rPr>
                      <w:szCs w:val="21"/>
                    </w:rPr>
                  </w:pPr>
                  <w:r>
                    <w:rPr>
                      <w:rFonts w:hint="eastAsia"/>
                      <w:szCs w:val="21"/>
                    </w:rPr>
                    <w:t>产品规格</w:t>
                  </w:r>
                </w:p>
              </w:tc>
              <w:tc>
                <w:tcPr>
                  <w:tcW w:w="919" w:type="pct"/>
                </w:tcPr>
                <w:p w14:paraId="54A15AF8">
                  <w:pPr>
                    <w:snapToGrid w:val="0"/>
                    <w:jc w:val="center"/>
                    <w:rPr>
                      <w:szCs w:val="21"/>
                    </w:rPr>
                  </w:pPr>
                  <w:r>
                    <w:rPr>
                      <w:rFonts w:hint="eastAsia"/>
                      <w:szCs w:val="21"/>
                    </w:rPr>
                    <w:t>生产规模</w:t>
                  </w:r>
                </w:p>
              </w:tc>
              <w:tc>
                <w:tcPr>
                  <w:tcW w:w="919" w:type="pct"/>
                  <w:vAlign w:val="center"/>
                </w:tcPr>
                <w:p w14:paraId="398FF83C">
                  <w:pPr>
                    <w:snapToGrid w:val="0"/>
                    <w:jc w:val="center"/>
                    <w:rPr>
                      <w:szCs w:val="21"/>
                    </w:rPr>
                  </w:pPr>
                  <w:r>
                    <w:rPr>
                      <w:rFonts w:hint="eastAsia"/>
                      <w:szCs w:val="21"/>
                    </w:rPr>
                    <w:t>产品标准号</w:t>
                  </w:r>
                </w:p>
              </w:tc>
            </w:tr>
            <w:tr w14:paraId="670D5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26" w:type="pct"/>
                  <w:vMerge w:val="restart"/>
                  <w:vAlign w:val="center"/>
                </w:tcPr>
                <w:p w14:paraId="33F7D3B3">
                  <w:pPr>
                    <w:snapToGrid w:val="0"/>
                    <w:jc w:val="center"/>
                    <w:rPr>
                      <w:szCs w:val="21"/>
                    </w:rPr>
                  </w:pPr>
                  <w:r>
                    <w:rPr>
                      <w:rFonts w:hint="eastAsia"/>
                      <w:szCs w:val="21"/>
                    </w:rPr>
                    <w:t>普通砌筑砂浆</w:t>
                  </w:r>
                </w:p>
              </w:tc>
              <w:tc>
                <w:tcPr>
                  <w:tcW w:w="1326" w:type="pct"/>
                  <w:vMerge w:val="restart"/>
                  <w:vAlign w:val="center"/>
                </w:tcPr>
                <w:p w14:paraId="0A8FDEF3">
                  <w:pPr>
                    <w:snapToGrid w:val="0"/>
                    <w:jc w:val="center"/>
                    <w:rPr>
                      <w:szCs w:val="21"/>
                    </w:rPr>
                  </w:pPr>
                  <w:r>
                    <w:rPr>
                      <w:rFonts w:hint="eastAsia"/>
                      <w:szCs w:val="21"/>
                    </w:rPr>
                    <w:t>砂、水泥、粉煤灰、外加剂</w:t>
                  </w:r>
                </w:p>
              </w:tc>
              <w:tc>
                <w:tcPr>
                  <w:tcW w:w="910" w:type="pct"/>
                  <w:vAlign w:val="center"/>
                </w:tcPr>
                <w:p w14:paraId="4C68C09B">
                  <w:pPr>
                    <w:snapToGrid w:val="0"/>
                    <w:jc w:val="center"/>
                    <w:rPr>
                      <w:szCs w:val="21"/>
                    </w:rPr>
                  </w:pPr>
                  <w:r>
                    <w:rPr>
                      <w:szCs w:val="21"/>
                    </w:rPr>
                    <w:t>M5</w:t>
                  </w:r>
                </w:p>
              </w:tc>
              <w:tc>
                <w:tcPr>
                  <w:tcW w:w="919" w:type="pct"/>
                </w:tcPr>
                <w:p w14:paraId="350E3124">
                  <w:pPr>
                    <w:snapToGrid w:val="0"/>
                    <w:jc w:val="center"/>
                    <w:rPr>
                      <w:szCs w:val="21"/>
                    </w:rPr>
                  </w:pPr>
                  <w:r>
                    <w:rPr>
                      <w:rFonts w:hint="eastAsia"/>
                      <w:szCs w:val="21"/>
                    </w:rPr>
                    <w:t>3万</w:t>
                  </w:r>
                  <w:r>
                    <w:rPr>
                      <w:szCs w:val="21"/>
                    </w:rPr>
                    <w:t>t/a</w:t>
                  </w:r>
                </w:p>
              </w:tc>
              <w:tc>
                <w:tcPr>
                  <w:tcW w:w="919" w:type="pct"/>
                  <w:vMerge w:val="restart"/>
                  <w:vAlign w:val="center"/>
                </w:tcPr>
                <w:p w14:paraId="69B1DA37">
                  <w:pPr>
                    <w:snapToGrid w:val="0"/>
                    <w:jc w:val="center"/>
                    <w:rPr>
                      <w:szCs w:val="21"/>
                    </w:rPr>
                  </w:pPr>
                  <w:r>
                    <w:rPr>
                      <w:szCs w:val="21"/>
                    </w:rPr>
                    <w:t>JG/T 230-2007</w:t>
                  </w:r>
                </w:p>
              </w:tc>
            </w:tr>
            <w:tr w14:paraId="1241D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26" w:type="pct"/>
                  <w:vMerge w:val="continue"/>
                  <w:vAlign w:val="center"/>
                </w:tcPr>
                <w:p w14:paraId="616C5334">
                  <w:pPr>
                    <w:snapToGrid w:val="0"/>
                    <w:jc w:val="center"/>
                    <w:rPr>
                      <w:szCs w:val="21"/>
                    </w:rPr>
                  </w:pPr>
                </w:p>
              </w:tc>
              <w:tc>
                <w:tcPr>
                  <w:tcW w:w="1326" w:type="pct"/>
                  <w:vMerge w:val="continue"/>
                  <w:vAlign w:val="center"/>
                </w:tcPr>
                <w:p w14:paraId="68AA7BB4">
                  <w:pPr>
                    <w:snapToGrid w:val="0"/>
                    <w:jc w:val="center"/>
                    <w:rPr>
                      <w:szCs w:val="21"/>
                    </w:rPr>
                  </w:pPr>
                </w:p>
              </w:tc>
              <w:tc>
                <w:tcPr>
                  <w:tcW w:w="910" w:type="pct"/>
                  <w:vAlign w:val="center"/>
                </w:tcPr>
                <w:p w14:paraId="6F589AF4">
                  <w:pPr>
                    <w:snapToGrid w:val="0"/>
                    <w:jc w:val="center"/>
                    <w:rPr>
                      <w:szCs w:val="21"/>
                    </w:rPr>
                  </w:pPr>
                  <w:r>
                    <w:rPr>
                      <w:szCs w:val="21"/>
                    </w:rPr>
                    <w:t>M7.5</w:t>
                  </w:r>
                </w:p>
              </w:tc>
              <w:tc>
                <w:tcPr>
                  <w:tcW w:w="919" w:type="pct"/>
                </w:tcPr>
                <w:p w14:paraId="467781A9">
                  <w:pPr>
                    <w:snapToGrid w:val="0"/>
                    <w:jc w:val="center"/>
                    <w:rPr>
                      <w:szCs w:val="21"/>
                    </w:rPr>
                  </w:pPr>
                  <w:r>
                    <w:rPr>
                      <w:szCs w:val="21"/>
                    </w:rPr>
                    <w:t>3</w:t>
                  </w:r>
                  <w:r>
                    <w:rPr>
                      <w:rFonts w:hint="eastAsia"/>
                      <w:szCs w:val="21"/>
                    </w:rPr>
                    <w:t>万</w:t>
                  </w:r>
                  <w:r>
                    <w:rPr>
                      <w:szCs w:val="21"/>
                    </w:rPr>
                    <w:t>t/a</w:t>
                  </w:r>
                </w:p>
              </w:tc>
              <w:tc>
                <w:tcPr>
                  <w:tcW w:w="919" w:type="pct"/>
                  <w:vMerge w:val="continue"/>
                  <w:vAlign w:val="center"/>
                </w:tcPr>
                <w:p w14:paraId="353D786E">
                  <w:pPr>
                    <w:snapToGrid w:val="0"/>
                    <w:jc w:val="center"/>
                    <w:rPr>
                      <w:szCs w:val="21"/>
                    </w:rPr>
                  </w:pPr>
                </w:p>
              </w:tc>
            </w:tr>
            <w:tr w14:paraId="262BE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26" w:type="pct"/>
                  <w:vMerge w:val="continue"/>
                  <w:vAlign w:val="center"/>
                </w:tcPr>
                <w:p w14:paraId="6A6E0C53">
                  <w:pPr>
                    <w:snapToGrid w:val="0"/>
                    <w:jc w:val="center"/>
                    <w:rPr>
                      <w:szCs w:val="21"/>
                    </w:rPr>
                  </w:pPr>
                </w:p>
              </w:tc>
              <w:tc>
                <w:tcPr>
                  <w:tcW w:w="1326" w:type="pct"/>
                  <w:vMerge w:val="continue"/>
                  <w:vAlign w:val="center"/>
                </w:tcPr>
                <w:p w14:paraId="7ACEACA9">
                  <w:pPr>
                    <w:snapToGrid w:val="0"/>
                    <w:jc w:val="center"/>
                    <w:rPr>
                      <w:szCs w:val="21"/>
                    </w:rPr>
                  </w:pPr>
                </w:p>
              </w:tc>
              <w:tc>
                <w:tcPr>
                  <w:tcW w:w="910" w:type="pct"/>
                  <w:vAlign w:val="center"/>
                </w:tcPr>
                <w:p w14:paraId="65C2D6F0">
                  <w:pPr>
                    <w:snapToGrid w:val="0"/>
                    <w:jc w:val="center"/>
                    <w:rPr>
                      <w:szCs w:val="21"/>
                    </w:rPr>
                  </w:pPr>
                  <w:r>
                    <w:rPr>
                      <w:szCs w:val="21"/>
                    </w:rPr>
                    <w:t>M10</w:t>
                  </w:r>
                </w:p>
              </w:tc>
              <w:tc>
                <w:tcPr>
                  <w:tcW w:w="919" w:type="pct"/>
                </w:tcPr>
                <w:p w14:paraId="7129BD8E">
                  <w:pPr>
                    <w:snapToGrid w:val="0"/>
                    <w:jc w:val="center"/>
                    <w:rPr>
                      <w:szCs w:val="21"/>
                    </w:rPr>
                  </w:pPr>
                  <w:r>
                    <w:rPr>
                      <w:rFonts w:hint="eastAsia"/>
                      <w:szCs w:val="21"/>
                    </w:rPr>
                    <w:t>4万</w:t>
                  </w:r>
                  <w:r>
                    <w:rPr>
                      <w:szCs w:val="21"/>
                    </w:rPr>
                    <w:t>t/a</w:t>
                  </w:r>
                </w:p>
              </w:tc>
              <w:tc>
                <w:tcPr>
                  <w:tcW w:w="919" w:type="pct"/>
                  <w:vMerge w:val="continue"/>
                  <w:vAlign w:val="center"/>
                </w:tcPr>
                <w:p w14:paraId="7EBCA5A7">
                  <w:pPr>
                    <w:snapToGrid w:val="0"/>
                    <w:jc w:val="center"/>
                    <w:rPr>
                      <w:szCs w:val="21"/>
                    </w:rPr>
                  </w:pPr>
                </w:p>
              </w:tc>
            </w:tr>
            <w:tr w14:paraId="600E9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26" w:type="pct"/>
                  <w:vMerge w:val="restart"/>
                  <w:vAlign w:val="center"/>
                </w:tcPr>
                <w:p w14:paraId="3BDE8271">
                  <w:pPr>
                    <w:snapToGrid w:val="0"/>
                    <w:jc w:val="center"/>
                    <w:rPr>
                      <w:szCs w:val="21"/>
                    </w:rPr>
                  </w:pPr>
                  <w:r>
                    <w:rPr>
                      <w:rFonts w:hint="eastAsia"/>
                      <w:szCs w:val="21"/>
                    </w:rPr>
                    <w:t>普通抹灰砂浆</w:t>
                  </w:r>
                </w:p>
              </w:tc>
              <w:tc>
                <w:tcPr>
                  <w:tcW w:w="1326" w:type="pct"/>
                  <w:vMerge w:val="restart"/>
                  <w:vAlign w:val="center"/>
                </w:tcPr>
                <w:p w14:paraId="25816076">
                  <w:pPr>
                    <w:snapToGrid w:val="0"/>
                    <w:jc w:val="center"/>
                    <w:rPr>
                      <w:szCs w:val="21"/>
                    </w:rPr>
                  </w:pPr>
                  <w:r>
                    <w:rPr>
                      <w:rFonts w:hint="eastAsia"/>
                      <w:szCs w:val="21"/>
                    </w:rPr>
                    <w:t>砂、水泥、粉煤灰、外加剂</w:t>
                  </w:r>
                </w:p>
              </w:tc>
              <w:tc>
                <w:tcPr>
                  <w:tcW w:w="910" w:type="pct"/>
                  <w:vAlign w:val="center"/>
                </w:tcPr>
                <w:p w14:paraId="6F5E4C4E">
                  <w:pPr>
                    <w:snapToGrid w:val="0"/>
                    <w:jc w:val="center"/>
                    <w:rPr>
                      <w:szCs w:val="21"/>
                    </w:rPr>
                  </w:pPr>
                  <w:r>
                    <w:rPr>
                      <w:szCs w:val="21"/>
                    </w:rPr>
                    <w:t>M5</w:t>
                  </w:r>
                </w:p>
              </w:tc>
              <w:tc>
                <w:tcPr>
                  <w:tcW w:w="919" w:type="pct"/>
                </w:tcPr>
                <w:p w14:paraId="67DCFBC0">
                  <w:pPr>
                    <w:snapToGrid w:val="0"/>
                    <w:jc w:val="center"/>
                    <w:rPr>
                      <w:szCs w:val="21"/>
                    </w:rPr>
                  </w:pPr>
                  <w:r>
                    <w:rPr>
                      <w:szCs w:val="21"/>
                    </w:rPr>
                    <w:t>5</w:t>
                  </w:r>
                  <w:r>
                    <w:rPr>
                      <w:rFonts w:hint="eastAsia"/>
                      <w:szCs w:val="21"/>
                    </w:rPr>
                    <w:t>万</w:t>
                  </w:r>
                  <w:r>
                    <w:rPr>
                      <w:szCs w:val="21"/>
                    </w:rPr>
                    <w:t>t/a</w:t>
                  </w:r>
                </w:p>
              </w:tc>
              <w:tc>
                <w:tcPr>
                  <w:tcW w:w="919" w:type="pct"/>
                  <w:vMerge w:val="continue"/>
                  <w:vAlign w:val="center"/>
                </w:tcPr>
                <w:p w14:paraId="0FA24A72">
                  <w:pPr>
                    <w:snapToGrid w:val="0"/>
                    <w:jc w:val="center"/>
                    <w:rPr>
                      <w:szCs w:val="21"/>
                    </w:rPr>
                  </w:pPr>
                </w:p>
              </w:tc>
            </w:tr>
            <w:tr w14:paraId="36B94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26" w:type="pct"/>
                  <w:vMerge w:val="continue"/>
                  <w:vAlign w:val="center"/>
                </w:tcPr>
                <w:p w14:paraId="3C571D3D">
                  <w:pPr>
                    <w:snapToGrid w:val="0"/>
                    <w:jc w:val="center"/>
                    <w:rPr>
                      <w:szCs w:val="21"/>
                    </w:rPr>
                  </w:pPr>
                </w:p>
              </w:tc>
              <w:tc>
                <w:tcPr>
                  <w:tcW w:w="1326" w:type="pct"/>
                  <w:vMerge w:val="continue"/>
                  <w:vAlign w:val="center"/>
                </w:tcPr>
                <w:p w14:paraId="0A6752D9">
                  <w:pPr>
                    <w:snapToGrid w:val="0"/>
                    <w:jc w:val="center"/>
                    <w:rPr>
                      <w:szCs w:val="21"/>
                    </w:rPr>
                  </w:pPr>
                </w:p>
              </w:tc>
              <w:tc>
                <w:tcPr>
                  <w:tcW w:w="910" w:type="pct"/>
                  <w:vAlign w:val="center"/>
                </w:tcPr>
                <w:p w14:paraId="38E1FBB7">
                  <w:pPr>
                    <w:snapToGrid w:val="0"/>
                    <w:jc w:val="center"/>
                    <w:rPr>
                      <w:szCs w:val="21"/>
                    </w:rPr>
                  </w:pPr>
                  <w:r>
                    <w:rPr>
                      <w:szCs w:val="21"/>
                    </w:rPr>
                    <w:t>M10</w:t>
                  </w:r>
                </w:p>
              </w:tc>
              <w:tc>
                <w:tcPr>
                  <w:tcW w:w="919" w:type="pct"/>
                </w:tcPr>
                <w:p w14:paraId="7777A2A1">
                  <w:pPr>
                    <w:snapToGrid w:val="0"/>
                    <w:jc w:val="center"/>
                    <w:rPr>
                      <w:szCs w:val="21"/>
                    </w:rPr>
                  </w:pPr>
                  <w:r>
                    <w:rPr>
                      <w:szCs w:val="21"/>
                    </w:rPr>
                    <w:t>5</w:t>
                  </w:r>
                  <w:r>
                    <w:rPr>
                      <w:rFonts w:hint="eastAsia"/>
                      <w:szCs w:val="21"/>
                    </w:rPr>
                    <w:t>万</w:t>
                  </w:r>
                  <w:r>
                    <w:rPr>
                      <w:szCs w:val="21"/>
                    </w:rPr>
                    <w:t>t/a</w:t>
                  </w:r>
                </w:p>
              </w:tc>
              <w:tc>
                <w:tcPr>
                  <w:tcW w:w="919" w:type="pct"/>
                  <w:vMerge w:val="continue"/>
                  <w:vAlign w:val="center"/>
                </w:tcPr>
                <w:p w14:paraId="50826DC0">
                  <w:pPr>
                    <w:snapToGrid w:val="0"/>
                    <w:jc w:val="center"/>
                    <w:rPr>
                      <w:szCs w:val="21"/>
                    </w:rPr>
                  </w:pPr>
                </w:p>
              </w:tc>
            </w:tr>
            <w:bookmarkEnd w:id="10"/>
          </w:tbl>
          <w:p w14:paraId="7DA4D033">
            <w:pPr>
              <w:autoSpaceDE w:val="0"/>
              <w:autoSpaceDN w:val="0"/>
              <w:adjustRightInd w:val="0"/>
              <w:snapToGrid w:val="0"/>
              <w:spacing w:line="360" w:lineRule="auto"/>
              <w:jc w:val="center"/>
              <w:rPr>
                <w:b/>
                <w:bCs/>
                <w:szCs w:val="21"/>
              </w:rPr>
            </w:pPr>
            <w:bookmarkStart w:id="11" w:name="_Hlk128149902"/>
            <w:r>
              <w:rPr>
                <w:b/>
                <w:bCs/>
                <w:szCs w:val="21"/>
              </w:rPr>
              <w:t>表2-5 项目物料平衡表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38"/>
              <w:gridCol w:w="2069"/>
              <w:gridCol w:w="1948"/>
              <w:gridCol w:w="2500"/>
            </w:tblGrid>
            <w:tr w14:paraId="5328B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39" w:type="pct"/>
                  <w:gridSpan w:val="2"/>
                  <w:vAlign w:val="center"/>
                </w:tcPr>
                <w:p w14:paraId="36D425D2">
                  <w:pPr>
                    <w:autoSpaceDE w:val="0"/>
                    <w:autoSpaceDN w:val="0"/>
                    <w:adjustRightInd w:val="0"/>
                    <w:snapToGrid w:val="0"/>
                    <w:jc w:val="center"/>
                    <w:rPr>
                      <w:bCs/>
                      <w:szCs w:val="21"/>
                    </w:rPr>
                  </w:pPr>
                  <w:r>
                    <w:rPr>
                      <w:rFonts w:hint="eastAsia"/>
                      <w:bCs/>
                      <w:szCs w:val="21"/>
                    </w:rPr>
                    <w:t>投入</w:t>
                  </w:r>
                </w:p>
              </w:tc>
              <w:tc>
                <w:tcPr>
                  <w:tcW w:w="2761" w:type="pct"/>
                  <w:gridSpan w:val="2"/>
                  <w:vAlign w:val="center"/>
                </w:tcPr>
                <w:p w14:paraId="03BBB558">
                  <w:pPr>
                    <w:autoSpaceDE w:val="0"/>
                    <w:autoSpaceDN w:val="0"/>
                    <w:adjustRightInd w:val="0"/>
                    <w:snapToGrid w:val="0"/>
                    <w:jc w:val="center"/>
                    <w:rPr>
                      <w:bCs/>
                      <w:szCs w:val="21"/>
                    </w:rPr>
                  </w:pPr>
                  <w:r>
                    <w:rPr>
                      <w:bCs/>
                      <w:szCs w:val="21"/>
                    </w:rPr>
                    <w:t>产出</w:t>
                  </w:r>
                </w:p>
              </w:tc>
            </w:tr>
            <w:tr w14:paraId="4CEEC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5" w:type="pct"/>
                  <w:vAlign w:val="center"/>
                </w:tcPr>
                <w:p w14:paraId="5B5302E7">
                  <w:pPr>
                    <w:jc w:val="center"/>
                    <w:rPr>
                      <w:szCs w:val="21"/>
                    </w:rPr>
                  </w:pPr>
                  <w:r>
                    <w:rPr>
                      <w:szCs w:val="21"/>
                    </w:rPr>
                    <w:t>名称</w:t>
                  </w:r>
                </w:p>
              </w:tc>
              <w:tc>
                <w:tcPr>
                  <w:tcW w:w="1284" w:type="pct"/>
                  <w:vAlign w:val="center"/>
                </w:tcPr>
                <w:p w14:paraId="1AA32DF0">
                  <w:pPr>
                    <w:jc w:val="center"/>
                    <w:rPr>
                      <w:szCs w:val="21"/>
                    </w:rPr>
                  </w:pPr>
                  <w:r>
                    <w:rPr>
                      <w:szCs w:val="21"/>
                    </w:rPr>
                    <w:t>用量（t/a）</w:t>
                  </w:r>
                </w:p>
              </w:tc>
              <w:tc>
                <w:tcPr>
                  <w:tcW w:w="1209" w:type="pct"/>
                  <w:vAlign w:val="center"/>
                </w:tcPr>
                <w:p w14:paraId="012617C0">
                  <w:pPr>
                    <w:autoSpaceDE w:val="0"/>
                    <w:autoSpaceDN w:val="0"/>
                    <w:adjustRightInd w:val="0"/>
                    <w:snapToGrid w:val="0"/>
                    <w:jc w:val="center"/>
                    <w:rPr>
                      <w:bCs/>
                      <w:szCs w:val="21"/>
                    </w:rPr>
                  </w:pPr>
                  <w:r>
                    <w:rPr>
                      <w:bCs/>
                      <w:szCs w:val="21"/>
                    </w:rPr>
                    <w:t>名称</w:t>
                  </w:r>
                </w:p>
              </w:tc>
              <w:tc>
                <w:tcPr>
                  <w:tcW w:w="1552" w:type="pct"/>
                  <w:vAlign w:val="center"/>
                </w:tcPr>
                <w:p w14:paraId="2D69BFC6">
                  <w:pPr>
                    <w:autoSpaceDE w:val="0"/>
                    <w:autoSpaceDN w:val="0"/>
                    <w:adjustRightInd w:val="0"/>
                    <w:snapToGrid w:val="0"/>
                    <w:jc w:val="center"/>
                    <w:rPr>
                      <w:bCs/>
                      <w:szCs w:val="21"/>
                    </w:rPr>
                  </w:pPr>
                  <w:r>
                    <w:rPr>
                      <w:bCs/>
                      <w:szCs w:val="21"/>
                    </w:rPr>
                    <w:t>产量</w:t>
                  </w:r>
                  <w:r>
                    <w:rPr>
                      <w:rFonts w:hint="eastAsia"/>
                      <w:bCs/>
                      <w:szCs w:val="21"/>
                    </w:rPr>
                    <w:t>（</w:t>
                  </w:r>
                  <w:r>
                    <w:rPr>
                      <w:szCs w:val="21"/>
                    </w:rPr>
                    <w:t>t/a</w:t>
                  </w:r>
                  <w:r>
                    <w:rPr>
                      <w:rFonts w:hint="eastAsia"/>
                      <w:bCs/>
                      <w:szCs w:val="21"/>
                    </w:rPr>
                    <w:t>）</w:t>
                  </w:r>
                </w:p>
              </w:tc>
            </w:tr>
            <w:bookmarkEnd w:id="11"/>
            <w:tr w14:paraId="64F0C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5" w:type="pct"/>
                  <w:vAlign w:val="center"/>
                </w:tcPr>
                <w:p w14:paraId="7FCA1FC3">
                  <w:pPr>
                    <w:jc w:val="center"/>
                    <w:rPr>
                      <w:szCs w:val="21"/>
                    </w:rPr>
                  </w:pPr>
                  <w:r>
                    <w:rPr>
                      <w:rFonts w:hint="eastAsia"/>
                      <w:color w:val="000000"/>
                      <w:kern w:val="0"/>
                      <w:szCs w:val="21"/>
                    </w:rPr>
                    <w:t>砂子</w:t>
                  </w:r>
                </w:p>
              </w:tc>
              <w:tc>
                <w:tcPr>
                  <w:tcW w:w="1284" w:type="pct"/>
                  <w:vAlign w:val="center"/>
                </w:tcPr>
                <w:p w14:paraId="0831657E">
                  <w:pPr>
                    <w:jc w:val="center"/>
                    <w:rPr>
                      <w:rFonts w:eastAsia="等线"/>
                      <w:szCs w:val="21"/>
                    </w:rPr>
                  </w:pPr>
                  <w:r>
                    <w:rPr>
                      <w:rFonts w:hint="eastAsia" w:eastAsia="等线"/>
                      <w:szCs w:val="21"/>
                    </w:rPr>
                    <w:t>157824.9000</w:t>
                  </w:r>
                </w:p>
              </w:tc>
              <w:tc>
                <w:tcPr>
                  <w:tcW w:w="1209" w:type="pct"/>
                  <w:vAlign w:val="center"/>
                </w:tcPr>
                <w:p w14:paraId="6A0F4ABE">
                  <w:pPr>
                    <w:autoSpaceDE w:val="0"/>
                    <w:autoSpaceDN w:val="0"/>
                    <w:adjustRightInd w:val="0"/>
                    <w:snapToGrid w:val="0"/>
                    <w:jc w:val="center"/>
                    <w:rPr>
                      <w:bCs/>
                      <w:szCs w:val="21"/>
                    </w:rPr>
                  </w:pPr>
                  <w:r>
                    <w:rPr>
                      <w:rFonts w:hint="eastAsia"/>
                      <w:bCs/>
                      <w:szCs w:val="21"/>
                    </w:rPr>
                    <w:t>干粉砂浆</w:t>
                  </w:r>
                </w:p>
              </w:tc>
              <w:tc>
                <w:tcPr>
                  <w:tcW w:w="1552" w:type="pct"/>
                  <w:vAlign w:val="center"/>
                </w:tcPr>
                <w:p w14:paraId="67B34F29">
                  <w:pPr>
                    <w:autoSpaceDE w:val="0"/>
                    <w:autoSpaceDN w:val="0"/>
                    <w:adjustRightInd w:val="0"/>
                    <w:snapToGrid w:val="0"/>
                    <w:jc w:val="center"/>
                    <w:rPr>
                      <w:bCs/>
                      <w:szCs w:val="21"/>
                    </w:rPr>
                  </w:pPr>
                  <w:r>
                    <w:rPr>
                      <w:rFonts w:hint="eastAsia"/>
                      <w:bCs/>
                      <w:szCs w:val="21"/>
                    </w:rPr>
                    <w:t>200000</w:t>
                  </w:r>
                </w:p>
              </w:tc>
            </w:tr>
            <w:tr w14:paraId="3B8B3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5" w:type="pct"/>
                  <w:vAlign w:val="center"/>
                </w:tcPr>
                <w:p w14:paraId="03FE6705">
                  <w:pPr>
                    <w:jc w:val="center"/>
                    <w:rPr>
                      <w:szCs w:val="21"/>
                    </w:rPr>
                  </w:pPr>
                  <w:r>
                    <w:rPr>
                      <w:rFonts w:hint="eastAsia"/>
                      <w:szCs w:val="21"/>
                    </w:rPr>
                    <w:t>水泥</w:t>
                  </w:r>
                </w:p>
              </w:tc>
              <w:tc>
                <w:tcPr>
                  <w:tcW w:w="1284" w:type="pct"/>
                  <w:vAlign w:val="center"/>
                </w:tcPr>
                <w:p w14:paraId="51C2E316">
                  <w:pPr>
                    <w:widowControl/>
                    <w:jc w:val="center"/>
                    <w:rPr>
                      <w:rFonts w:eastAsia="等线"/>
                      <w:color w:val="000000"/>
                      <w:kern w:val="0"/>
                      <w:szCs w:val="21"/>
                    </w:rPr>
                  </w:pPr>
                  <w:r>
                    <w:rPr>
                      <w:rFonts w:hint="eastAsia" w:eastAsia="等线"/>
                      <w:color w:val="000000"/>
                      <w:kern w:val="0"/>
                      <w:szCs w:val="21"/>
                    </w:rPr>
                    <w:t>25911.96891</w:t>
                  </w:r>
                </w:p>
              </w:tc>
              <w:tc>
                <w:tcPr>
                  <w:tcW w:w="1209" w:type="pct"/>
                  <w:vAlign w:val="center"/>
                </w:tcPr>
                <w:p w14:paraId="3C8EACA4">
                  <w:pPr>
                    <w:autoSpaceDE w:val="0"/>
                    <w:autoSpaceDN w:val="0"/>
                    <w:adjustRightInd w:val="0"/>
                    <w:snapToGrid w:val="0"/>
                    <w:jc w:val="center"/>
                    <w:rPr>
                      <w:bCs/>
                      <w:szCs w:val="21"/>
                    </w:rPr>
                  </w:pPr>
                  <w:r>
                    <w:rPr>
                      <w:rFonts w:hint="eastAsia"/>
                      <w:bCs/>
                      <w:szCs w:val="21"/>
                    </w:rPr>
                    <w:t>有组织粉尘</w:t>
                  </w:r>
                </w:p>
              </w:tc>
              <w:tc>
                <w:tcPr>
                  <w:tcW w:w="1552" w:type="pct"/>
                  <w:vAlign w:val="center"/>
                </w:tcPr>
                <w:p w14:paraId="4881EDC3">
                  <w:pPr>
                    <w:autoSpaceDE w:val="0"/>
                    <w:autoSpaceDN w:val="0"/>
                    <w:adjustRightInd w:val="0"/>
                    <w:snapToGrid w:val="0"/>
                    <w:jc w:val="center"/>
                    <w:rPr>
                      <w:bCs/>
                      <w:szCs w:val="21"/>
                    </w:rPr>
                  </w:pPr>
                  <w:r>
                    <w:rPr>
                      <w:rFonts w:hint="eastAsia"/>
                      <w:bCs/>
                      <w:szCs w:val="21"/>
                    </w:rPr>
                    <w:t>1.077</w:t>
                  </w:r>
                </w:p>
              </w:tc>
            </w:tr>
            <w:tr w14:paraId="39744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5" w:type="pct"/>
                  <w:vAlign w:val="center"/>
                </w:tcPr>
                <w:p w14:paraId="66F1CE8B">
                  <w:pPr>
                    <w:jc w:val="center"/>
                    <w:rPr>
                      <w:szCs w:val="21"/>
                    </w:rPr>
                  </w:pPr>
                  <w:r>
                    <w:rPr>
                      <w:rFonts w:hint="eastAsia"/>
                      <w:szCs w:val="21"/>
                    </w:rPr>
                    <w:t>粉煤灰</w:t>
                  </w:r>
                </w:p>
              </w:tc>
              <w:tc>
                <w:tcPr>
                  <w:tcW w:w="1284" w:type="pct"/>
                  <w:vAlign w:val="center"/>
                </w:tcPr>
                <w:p w14:paraId="658D8E73">
                  <w:pPr>
                    <w:jc w:val="center"/>
                    <w:rPr>
                      <w:rFonts w:eastAsia="等线"/>
                      <w:color w:val="000000"/>
                      <w:szCs w:val="21"/>
                    </w:rPr>
                  </w:pPr>
                  <w:r>
                    <w:rPr>
                      <w:rFonts w:hint="eastAsia" w:eastAsia="等线"/>
                      <w:color w:val="000000"/>
                      <w:szCs w:val="21"/>
                    </w:rPr>
                    <w:t>16307.53256</w:t>
                  </w:r>
                </w:p>
              </w:tc>
              <w:tc>
                <w:tcPr>
                  <w:tcW w:w="1209" w:type="pct"/>
                  <w:vAlign w:val="center"/>
                </w:tcPr>
                <w:p w14:paraId="029EB776">
                  <w:pPr>
                    <w:autoSpaceDE w:val="0"/>
                    <w:autoSpaceDN w:val="0"/>
                    <w:adjustRightInd w:val="0"/>
                    <w:snapToGrid w:val="0"/>
                    <w:jc w:val="center"/>
                    <w:rPr>
                      <w:bCs/>
                      <w:szCs w:val="21"/>
                    </w:rPr>
                  </w:pPr>
                  <w:r>
                    <w:rPr>
                      <w:rFonts w:hint="eastAsia"/>
                      <w:bCs/>
                      <w:szCs w:val="21"/>
                    </w:rPr>
                    <w:t>无组织粉尘</w:t>
                  </w:r>
                </w:p>
              </w:tc>
              <w:tc>
                <w:tcPr>
                  <w:tcW w:w="1552" w:type="pct"/>
                  <w:vAlign w:val="center"/>
                </w:tcPr>
                <w:p w14:paraId="1DF0C9A4">
                  <w:pPr>
                    <w:autoSpaceDE w:val="0"/>
                    <w:autoSpaceDN w:val="0"/>
                    <w:adjustRightInd w:val="0"/>
                    <w:snapToGrid w:val="0"/>
                    <w:jc w:val="center"/>
                    <w:rPr>
                      <w:bCs/>
                      <w:szCs w:val="21"/>
                    </w:rPr>
                  </w:pPr>
                  <w:r>
                    <w:rPr>
                      <w:rFonts w:hint="eastAsia"/>
                      <w:bCs/>
                      <w:szCs w:val="21"/>
                    </w:rPr>
                    <w:t>0.185</w:t>
                  </w:r>
                </w:p>
              </w:tc>
            </w:tr>
            <w:tr w14:paraId="6B790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5" w:type="pct"/>
                  <w:vAlign w:val="center"/>
                </w:tcPr>
                <w:p w14:paraId="3DAD9CBA">
                  <w:pPr>
                    <w:jc w:val="center"/>
                    <w:rPr>
                      <w:color w:val="000000"/>
                      <w:kern w:val="0"/>
                      <w:szCs w:val="21"/>
                    </w:rPr>
                  </w:pPr>
                  <w:r>
                    <w:rPr>
                      <w:rFonts w:hint="eastAsia"/>
                      <w:color w:val="000000"/>
                      <w:kern w:val="0"/>
                      <w:szCs w:val="21"/>
                    </w:rPr>
                    <w:t>外加剂</w:t>
                  </w:r>
                </w:p>
              </w:tc>
              <w:tc>
                <w:tcPr>
                  <w:tcW w:w="1284" w:type="pct"/>
                  <w:vAlign w:val="center"/>
                </w:tcPr>
                <w:p w14:paraId="4862614A">
                  <w:pPr>
                    <w:jc w:val="center"/>
                    <w:rPr>
                      <w:rFonts w:eastAsia="等线"/>
                      <w:color w:val="000000"/>
                      <w:szCs w:val="21"/>
                    </w:rPr>
                  </w:pPr>
                  <w:r>
                    <w:rPr>
                      <w:rFonts w:hint="eastAsia" w:eastAsia="等线"/>
                      <w:color w:val="000000"/>
                      <w:szCs w:val="21"/>
                    </w:rPr>
                    <w:t>48.02213</w:t>
                  </w:r>
                </w:p>
              </w:tc>
              <w:tc>
                <w:tcPr>
                  <w:tcW w:w="1209" w:type="pct"/>
                  <w:vAlign w:val="center"/>
                </w:tcPr>
                <w:p w14:paraId="013B25EF">
                  <w:pPr>
                    <w:autoSpaceDE w:val="0"/>
                    <w:autoSpaceDN w:val="0"/>
                    <w:adjustRightInd w:val="0"/>
                    <w:snapToGrid w:val="0"/>
                    <w:jc w:val="center"/>
                    <w:rPr>
                      <w:bCs/>
                      <w:szCs w:val="21"/>
                    </w:rPr>
                  </w:pPr>
                  <w:r>
                    <w:rPr>
                      <w:rFonts w:hint="eastAsia"/>
                      <w:bCs/>
                      <w:szCs w:val="21"/>
                    </w:rPr>
                    <w:t>除尘灰</w:t>
                  </w:r>
                </w:p>
              </w:tc>
              <w:tc>
                <w:tcPr>
                  <w:tcW w:w="1552" w:type="pct"/>
                  <w:vAlign w:val="center"/>
                </w:tcPr>
                <w:p w14:paraId="552AF154">
                  <w:pPr>
                    <w:autoSpaceDE w:val="0"/>
                    <w:autoSpaceDN w:val="0"/>
                    <w:adjustRightInd w:val="0"/>
                    <w:snapToGrid w:val="0"/>
                    <w:jc w:val="center"/>
                    <w:rPr>
                      <w:bCs/>
                      <w:szCs w:val="21"/>
                    </w:rPr>
                  </w:pPr>
                  <w:r>
                    <w:rPr>
                      <w:rFonts w:hint="eastAsia"/>
                      <w:bCs/>
                      <w:szCs w:val="21"/>
                    </w:rPr>
                    <w:t>91.1616</w:t>
                  </w:r>
                </w:p>
              </w:tc>
            </w:tr>
            <w:tr w14:paraId="2F75C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5" w:type="pct"/>
                  <w:vAlign w:val="center"/>
                </w:tcPr>
                <w:p w14:paraId="1C881E98">
                  <w:pPr>
                    <w:jc w:val="center"/>
                    <w:rPr>
                      <w:szCs w:val="21"/>
                    </w:rPr>
                  </w:pPr>
                  <w:r>
                    <w:rPr>
                      <w:szCs w:val="21"/>
                    </w:rPr>
                    <w:t>合计</w:t>
                  </w:r>
                </w:p>
              </w:tc>
              <w:tc>
                <w:tcPr>
                  <w:tcW w:w="1284" w:type="pct"/>
                  <w:vAlign w:val="center"/>
                </w:tcPr>
                <w:p w14:paraId="2D0A5FA6">
                  <w:pPr>
                    <w:jc w:val="center"/>
                    <w:rPr>
                      <w:rFonts w:eastAsia="等线"/>
                      <w:color w:val="000000"/>
                      <w:szCs w:val="21"/>
                    </w:rPr>
                  </w:pPr>
                  <w:r>
                    <w:rPr>
                      <w:rFonts w:eastAsia="等线"/>
                      <w:color w:val="000000"/>
                      <w:szCs w:val="21"/>
                    </w:rPr>
                    <w:fldChar w:fldCharType="begin"/>
                  </w:r>
                  <w:r>
                    <w:rPr>
                      <w:rFonts w:eastAsia="等线"/>
                      <w:color w:val="000000"/>
                      <w:szCs w:val="21"/>
                    </w:rPr>
                    <w:instrText xml:space="preserve"> =SUM(ABOVE) </w:instrText>
                  </w:r>
                  <w:r>
                    <w:rPr>
                      <w:rFonts w:eastAsia="等线"/>
                      <w:color w:val="000000"/>
                      <w:szCs w:val="21"/>
                    </w:rPr>
                    <w:fldChar w:fldCharType="separate"/>
                  </w:r>
                  <w:r>
                    <w:rPr>
                      <w:rFonts w:eastAsia="等线"/>
                      <w:color w:val="000000"/>
                      <w:szCs w:val="21"/>
                    </w:rPr>
                    <w:t>200092.4236</w:t>
                  </w:r>
                  <w:r>
                    <w:rPr>
                      <w:rFonts w:eastAsia="等线"/>
                      <w:color w:val="000000"/>
                      <w:szCs w:val="21"/>
                    </w:rPr>
                    <w:fldChar w:fldCharType="end"/>
                  </w:r>
                </w:p>
              </w:tc>
              <w:tc>
                <w:tcPr>
                  <w:tcW w:w="1209" w:type="pct"/>
                  <w:vAlign w:val="center"/>
                </w:tcPr>
                <w:p w14:paraId="02042027">
                  <w:pPr>
                    <w:autoSpaceDE w:val="0"/>
                    <w:autoSpaceDN w:val="0"/>
                    <w:adjustRightInd w:val="0"/>
                    <w:snapToGrid w:val="0"/>
                    <w:jc w:val="center"/>
                    <w:rPr>
                      <w:bCs/>
                      <w:szCs w:val="21"/>
                    </w:rPr>
                  </w:pPr>
                  <w:r>
                    <w:rPr>
                      <w:bCs/>
                      <w:szCs w:val="21"/>
                    </w:rPr>
                    <w:t>合计</w:t>
                  </w:r>
                </w:p>
              </w:tc>
              <w:tc>
                <w:tcPr>
                  <w:tcW w:w="1552" w:type="pct"/>
                  <w:vAlign w:val="center"/>
                </w:tcPr>
                <w:p w14:paraId="73521829">
                  <w:pPr>
                    <w:autoSpaceDE w:val="0"/>
                    <w:autoSpaceDN w:val="0"/>
                    <w:adjustRightInd w:val="0"/>
                    <w:snapToGrid w:val="0"/>
                    <w:jc w:val="center"/>
                    <w:rPr>
                      <w:bCs/>
                      <w:szCs w:val="21"/>
                    </w:rPr>
                  </w:pPr>
                  <w:r>
                    <w:rPr>
                      <w:bCs/>
                      <w:szCs w:val="21"/>
                    </w:rPr>
                    <w:fldChar w:fldCharType="begin"/>
                  </w:r>
                  <w:r>
                    <w:rPr>
                      <w:bCs/>
                      <w:szCs w:val="21"/>
                    </w:rPr>
                    <w:instrText xml:space="preserve"> =SUM(ABOVE) </w:instrText>
                  </w:r>
                  <w:r>
                    <w:rPr>
                      <w:bCs/>
                      <w:szCs w:val="21"/>
                    </w:rPr>
                    <w:fldChar w:fldCharType="separate"/>
                  </w:r>
                  <w:r>
                    <w:rPr>
                      <w:bCs/>
                      <w:szCs w:val="21"/>
                    </w:rPr>
                    <w:t>200092.4236</w:t>
                  </w:r>
                  <w:r>
                    <w:rPr>
                      <w:bCs/>
                      <w:szCs w:val="21"/>
                    </w:rPr>
                    <w:fldChar w:fldCharType="end"/>
                  </w:r>
                </w:p>
              </w:tc>
            </w:tr>
          </w:tbl>
          <w:p w14:paraId="55292DEE">
            <w:pPr>
              <w:widowControl/>
              <w:spacing w:before="120" w:beforeLines="50" w:line="360" w:lineRule="auto"/>
              <w:rPr>
                <w:b/>
                <w:bCs/>
                <w:color w:val="000000"/>
                <w:kern w:val="0"/>
                <w:szCs w:val="21"/>
                <w:highlight w:val="yellow"/>
              </w:rPr>
            </w:pPr>
            <w:r>
              <w:rPr>
                <w:b/>
                <w:bCs/>
                <w:color w:val="000000"/>
                <w:sz w:val="24"/>
              </w:rPr>
              <w:t>2.</w:t>
            </w:r>
            <w:r>
              <w:rPr>
                <w:b/>
                <w:bCs/>
                <w:sz w:val="24"/>
              </w:rPr>
              <w:t>6 总平面布置</w:t>
            </w:r>
          </w:p>
          <w:p w14:paraId="27D3E146">
            <w:pPr>
              <w:spacing w:line="360" w:lineRule="auto"/>
              <w:ind w:firstLine="480" w:firstLineChars="200"/>
              <w:rPr>
                <w:sz w:val="24"/>
                <w:highlight w:val="yellow"/>
              </w:rPr>
            </w:pPr>
            <w:r>
              <w:rPr>
                <w:rFonts w:hint="eastAsia" w:ascii="宋体" w:hAnsi="宋体" w:cs="宋体"/>
                <w:sz w:val="24"/>
              </w:rPr>
              <w:t>本项目用地</w:t>
            </w:r>
            <w:r>
              <w:rPr>
                <w:rFonts w:hint="eastAsia"/>
                <w:bCs/>
                <w:color w:val="000000"/>
                <w:sz w:val="24"/>
              </w:rPr>
              <w:t>面积约为22618m</w:t>
            </w:r>
            <w:r>
              <w:rPr>
                <w:rFonts w:hint="eastAsia"/>
                <w:bCs/>
                <w:color w:val="000000"/>
                <w:sz w:val="24"/>
                <w:vertAlign w:val="superscript"/>
              </w:rPr>
              <w:t>2</w:t>
            </w:r>
            <w:r>
              <w:rPr>
                <w:rFonts w:hint="eastAsia"/>
                <w:bCs/>
                <w:color w:val="000000"/>
                <w:sz w:val="24"/>
              </w:rPr>
              <w:t>（约合33.927亩），租用峪口镇呼家湾村其他草地。总建筑面积22</w:t>
            </w:r>
            <w:r>
              <w:rPr>
                <w:bCs/>
                <w:color w:val="000000"/>
                <w:sz w:val="24"/>
              </w:rPr>
              <w:t>00</w:t>
            </w:r>
            <w:r>
              <w:rPr>
                <w:rFonts w:hint="eastAsia"/>
                <w:bCs/>
                <w:color w:val="000000"/>
                <w:sz w:val="24"/>
              </w:rPr>
              <w:t>m</w:t>
            </w:r>
            <w:r>
              <w:rPr>
                <w:bCs/>
                <w:color w:val="000000"/>
                <w:sz w:val="24"/>
                <w:vertAlign w:val="superscript"/>
              </w:rPr>
              <w:t>2</w:t>
            </w:r>
            <w:r>
              <w:rPr>
                <w:rFonts w:hint="eastAsia"/>
                <w:bCs/>
                <w:color w:val="000000"/>
                <w:sz w:val="24"/>
              </w:rPr>
              <w:t>。厂区分为办公区、生产区。办公区位于东侧厂区，建设一栋二层框架</w:t>
            </w:r>
            <w:r>
              <w:rPr>
                <w:rFonts w:hint="eastAsia"/>
                <w:bCs/>
                <w:sz w:val="24"/>
              </w:rPr>
              <w:t>结构办公楼；生产区位于西侧厂区，包括原料库、搅拌楼、危废贮存库等。东侧厂区占地面积</w:t>
            </w:r>
            <w:r>
              <w:rPr>
                <w:bCs/>
                <w:sz w:val="24"/>
              </w:rPr>
              <w:t>2</w:t>
            </w:r>
            <w:r>
              <w:rPr>
                <w:rFonts w:hint="eastAsia"/>
                <w:bCs/>
                <w:sz w:val="24"/>
              </w:rPr>
              <w:t>800</w:t>
            </w:r>
            <w:r>
              <w:rPr>
                <w:bCs/>
                <w:sz w:val="24"/>
              </w:rPr>
              <w:t>m</w:t>
            </w:r>
            <w:r>
              <w:rPr>
                <w:bCs/>
                <w:sz w:val="24"/>
                <w:vertAlign w:val="superscript"/>
              </w:rPr>
              <w:t>2</w:t>
            </w:r>
            <w:r>
              <w:rPr>
                <w:rFonts w:hint="eastAsia"/>
                <w:bCs/>
                <w:sz w:val="24"/>
              </w:rPr>
              <w:t>，西侧厂区占地面积</w:t>
            </w:r>
            <w:r>
              <w:rPr>
                <w:bCs/>
                <w:sz w:val="24"/>
              </w:rPr>
              <w:t>34</w:t>
            </w:r>
            <w:r>
              <w:rPr>
                <w:rFonts w:hint="eastAsia"/>
                <w:bCs/>
                <w:sz w:val="24"/>
              </w:rPr>
              <w:t>00</w:t>
            </w:r>
            <w:r>
              <w:rPr>
                <w:bCs/>
                <w:sz w:val="24"/>
              </w:rPr>
              <w:t>m</w:t>
            </w:r>
            <w:r>
              <w:rPr>
                <w:bCs/>
                <w:sz w:val="24"/>
                <w:vertAlign w:val="superscript"/>
              </w:rPr>
              <w:t>2</w:t>
            </w:r>
            <w:r>
              <w:rPr>
                <w:rFonts w:hint="eastAsia"/>
                <w:bCs/>
                <w:sz w:val="24"/>
              </w:rPr>
              <w:t>，绿化面积600m</w:t>
            </w:r>
            <w:r>
              <w:rPr>
                <w:bCs/>
                <w:sz w:val="24"/>
                <w:vertAlign w:val="superscript"/>
              </w:rPr>
              <w:t>2</w:t>
            </w:r>
            <w:r>
              <w:rPr>
                <w:rFonts w:hint="eastAsia"/>
                <w:bCs/>
                <w:sz w:val="24"/>
              </w:rPr>
              <w:t>。</w:t>
            </w:r>
            <w:r>
              <w:rPr>
                <w:rFonts w:ascii="宋体" w:hAnsi="宋体"/>
                <w:sz w:val="24"/>
              </w:rPr>
              <w:t>厂区平面布置</w:t>
            </w:r>
            <w:r>
              <w:rPr>
                <w:rFonts w:hint="eastAsia" w:ascii="宋体" w:hAnsi="宋体"/>
                <w:sz w:val="24"/>
              </w:rPr>
              <w:t>及全厂物料、车流走向</w:t>
            </w:r>
            <w:r>
              <w:rPr>
                <w:rFonts w:ascii="宋体" w:hAnsi="宋体"/>
                <w:sz w:val="24"/>
              </w:rPr>
              <w:t>图</w:t>
            </w:r>
            <w:r>
              <w:rPr>
                <w:rFonts w:hint="eastAsia"/>
                <w:sz w:val="24"/>
              </w:rPr>
              <w:t>见附图7；厂区详细平面布置图见附图7-1、附图7-2</w:t>
            </w:r>
            <w:r>
              <w:rPr>
                <w:sz w:val="24"/>
              </w:rPr>
              <w:t>。</w:t>
            </w:r>
          </w:p>
          <w:p w14:paraId="0675FDCB">
            <w:pPr>
              <w:widowControl/>
              <w:spacing w:line="360" w:lineRule="auto"/>
              <w:rPr>
                <w:b/>
                <w:bCs/>
                <w:color w:val="000000"/>
                <w:kern w:val="0"/>
                <w:szCs w:val="21"/>
                <w:highlight w:val="yellow"/>
              </w:rPr>
            </w:pPr>
            <w:r>
              <w:rPr>
                <w:b/>
                <w:bCs/>
                <w:sz w:val="24"/>
              </w:rPr>
              <w:t>2.7 劳动定员及工作制</w:t>
            </w:r>
          </w:p>
          <w:p w14:paraId="77961388">
            <w:pPr>
              <w:widowControl/>
              <w:spacing w:line="360" w:lineRule="auto"/>
              <w:ind w:firstLine="480" w:firstLineChars="200"/>
              <w:rPr>
                <w:bCs/>
                <w:color w:val="000000"/>
                <w:sz w:val="24"/>
              </w:rPr>
            </w:pPr>
            <w:r>
              <w:rPr>
                <w:bCs/>
                <w:color w:val="000000"/>
                <w:sz w:val="24"/>
              </w:rPr>
              <w:t>本项目劳动定员10人</w:t>
            </w:r>
            <w:r>
              <w:rPr>
                <w:rFonts w:hint="eastAsia"/>
                <w:bCs/>
                <w:color w:val="000000"/>
                <w:sz w:val="24"/>
              </w:rPr>
              <w:t>。全年生产</w:t>
            </w:r>
            <w:r>
              <w:rPr>
                <w:bCs/>
                <w:color w:val="000000"/>
                <w:sz w:val="24"/>
              </w:rPr>
              <w:t>300</w:t>
            </w:r>
            <w:r>
              <w:rPr>
                <w:rFonts w:hint="eastAsia"/>
                <w:bCs/>
                <w:color w:val="000000"/>
                <w:sz w:val="24"/>
              </w:rPr>
              <w:t>d，每天生产8h。</w:t>
            </w:r>
          </w:p>
          <w:p w14:paraId="537850DA">
            <w:pPr>
              <w:spacing w:line="360" w:lineRule="auto"/>
              <w:jc w:val="left"/>
              <w:rPr>
                <w:b/>
                <w:bCs/>
                <w:color w:val="000000"/>
                <w:sz w:val="24"/>
              </w:rPr>
            </w:pPr>
            <w:r>
              <w:rPr>
                <w:b/>
                <w:bCs/>
                <w:sz w:val="24"/>
              </w:rPr>
              <w:t>2.8 公用工程</w:t>
            </w:r>
          </w:p>
          <w:p w14:paraId="49C28C31">
            <w:pPr>
              <w:spacing w:line="360" w:lineRule="auto"/>
              <w:jc w:val="left"/>
              <w:rPr>
                <w:b/>
                <w:color w:val="000000"/>
                <w:sz w:val="24"/>
              </w:rPr>
            </w:pPr>
            <w:r>
              <w:rPr>
                <w:rFonts w:hint="eastAsia"/>
                <w:b/>
                <w:color w:val="000000"/>
                <w:sz w:val="24"/>
              </w:rPr>
              <w:t>2.8.1供电</w:t>
            </w:r>
          </w:p>
          <w:p w14:paraId="47891B34">
            <w:pPr>
              <w:spacing w:line="360" w:lineRule="auto"/>
              <w:ind w:firstLine="480" w:firstLineChars="200"/>
              <w:jc w:val="left"/>
              <w:rPr>
                <w:bCs/>
                <w:color w:val="000000"/>
                <w:sz w:val="24"/>
              </w:rPr>
            </w:pPr>
            <w:r>
              <w:rPr>
                <w:rFonts w:hint="eastAsia"/>
                <w:bCs/>
                <w:color w:val="000000"/>
                <w:sz w:val="24"/>
              </w:rPr>
              <w:t>本项目用电引自呼家湾村供电线，供电能满足生产及生活用电的需求。</w:t>
            </w:r>
          </w:p>
          <w:p w14:paraId="71E566D7">
            <w:pPr>
              <w:spacing w:line="360" w:lineRule="auto"/>
              <w:jc w:val="left"/>
              <w:rPr>
                <w:b/>
                <w:color w:val="000000"/>
                <w:sz w:val="24"/>
              </w:rPr>
            </w:pPr>
            <w:r>
              <w:rPr>
                <w:rFonts w:hint="eastAsia"/>
                <w:b/>
                <w:color w:val="000000"/>
                <w:sz w:val="24"/>
              </w:rPr>
              <w:t>2.8.2供热</w:t>
            </w:r>
          </w:p>
          <w:p w14:paraId="08A734DA">
            <w:pPr>
              <w:spacing w:line="360" w:lineRule="auto"/>
              <w:ind w:firstLine="480" w:firstLineChars="200"/>
              <w:jc w:val="left"/>
              <w:rPr>
                <w:bCs/>
                <w:color w:val="000000"/>
                <w:sz w:val="24"/>
              </w:rPr>
            </w:pPr>
            <w:r>
              <w:rPr>
                <w:rFonts w:hint="eastAsia"/>
                <w:bCs/>
                <w:color w:val="000000"/>
                <w:sz w:val="24"/>
              </w:rPr>
              <w:t>本项目办公室采用空调制暖。</w:t>
            </w:r>
          </w:p>
          <w:p w14:paraId="11A354A8">
            <w:pPr>
              <w:spacing w:line="360" w:lineRule="auto"/>
              <w:rPr>
                <w:b/>
                <w:color w:val="000000"/>
                <w:sz w:val="24"/>
              </w:rPr>
            </w:pPr>
            <w:r>
              <w:rPr>
                <w:rFonts w:hint="eastAsia"/>
                <w:b/>
                <w:color w:val="000000"/>
                <w:sz w:val="24"/>
              </w:rPr>
              <w:t>2.8.3给水</w:t>
            </w:r>
          </w:p>
          <w:p w14:paraId="41F3731E">
            <w:pPr>
              <w:spacing w:line="360" w:lineRule="auto"/>
              <w:ind w:firstLine="480" w:firstLineChars="200"/>
              <w:rPr>
                <w:bCs/>
                <w:color w:val="000000"/>
                <w:sz w:val="24"/>
              </w:rPr>
            </w:pPr>
            <w:r>
              <w:rPr>
                <w:rFonts w:hint="eastAsia"/>
                <w:bCs/>
                <w:color w:val="000000"/>
                <w:sz w:val="24"/>
              </w:rPr>
              <w:t>项目用水由呼家湾村集中供水工程供给，可满足项目用水要求。</w:t>
            </w:r>
          </w:p>
          <w:p w14:paraId="339427AE">
            <w:pPr>
              <w:adjustRightInd w:val="0"/>
              <w:snapToGrid w:val="0"/>
              <w:spacing w:line="360" w:lineRule="auto"/>
              <w:ind w:firstLine="480" w:firstLineChars="200"/>
              <w:rPr>
                <w:bCs/>
                <w:color w:val="000000"/>
                <w:sz w:val="24"/>
              </w:rPr>
            </w:pPr>
            <w:r>
              <w:rPr>
                <w:rFonts w:hint="eastAsia"/>
                <w:bCs/>
                <w:color w:val="000000"/>
                <w:sz w:val="24"/>
              </w:rPr>
              <w:t>本项目生产工艺过程不使用水，项目运营过程中的用水环节包括：职工日常生活（厂内职工不在厂内食宿）、车辆冲洗、硬化地面洒水降尘、绿化浇灌和原料库洒水抑尘。</w:t>
            </w:r>
          </w:p>
          <w:p w14:paraId="55C3199F">
            <w:pPr>
              <w:adjustRightInd w:val="0"/>
              <w:snapToGrid w:val="0"/>
              <w:spacing w:line="360" w:lineRule="auto"/>
              <w:ind w:firstLine="480" w:firstLineChars="200"/>
              <w:rPr>
                <w:sz w:val="24"/>
              </w:rPr>
            </w:pPr>
            <w:r>
              <w:rPr>
                <w:bCs/>
                <w:color w:val="000000"/>
                <w:sz w:val="24"/>
              </w:rPr>
              <w:t>（1）生活用水：</w:t>
            </w:r>
            <w:r>
              <w:rPr>
                <w:bCs/>
                <w:sz w:val="24"/>
              </w:rPr>
              <w:t>根据《山西省用水定额》（DB14/T 1049.4-2021），</w:t>
            </w:r>
            <w:r>
              <w:rPr>
                <w:sz w:val="24"/>
              </w:rPr>
              <w:t>职工日常用水定额以</w:t>
            </w:r>
            <w:r>
              <w:rPr>
                <w:rFonts w:hint="eastAsia"/>
                <w:sz w:val="24"/>
              </w:rPr>
              <w:t>7</w:t>
            </w:r>
            <w:r>
              <w:rPr>
                <w:sz w:val="24"/>
              </w:rPr>
              <w:t>0L/人·d，本项目共有职工10人，则生活需水量为0.</w:t>
            </w:r>
            <w:r>
              <w:rPr>
                <w:rFonts w:hint="eastAsia"/>
                <w:sz w:val="24"/>
              </w:rPr>
              <w:t>7</w:t>
            </w:r>
            <w:r>
              <w:rPr>
                <w:sz w:val="24"/>
              </w:rPr>
              <w:t>m</w:t>
            </w:r>
            <w:r>
              <w:rPr>
                <w:sz w:val="24"/>
                <w:vertAlign w:val="superscript"/>
              </w:rPr>
              <w:t>3</w:t>
            </w:r>
            <w:r>
              <w:rPr>
                <w:sz w:val="24"/>
              </w:rPr>
              <w:t>/d。</w:t>
            </w:r>
          </w:p>
          <w:p w14:paraId="38BAD9AE">
            <w:pPr>
              <w:widowControl/>
              <w:spacing w:line="360" w:lineRule="auto"/>
              <w:ind w:firstLine="480" w:firstLineChars="200"/>
              <w:rPr>
                <w:sz w:val="24"/>
              </w:rPr>
            </w:pPr>
            <w:r>
              <w:rPr>
                <w:rFonts w:hint="eastAsia"/>
                <w:bCs/>
                <w:sz w:val="24"/>
              </w:rPr>
              <w:t>（2）</w:t>
            </w:r>
            <w:r>
              <w:rPr>
                <w:bCs/>
                <w:sz w:val="24"/>
              </w:rPr>
              <w:t>洗车用水：</w:t>
            </w:r>
            <w:r>
              <w:rPr>
                <w:sz w:val="24"/>
              </w:rPr>
              <w:t>本项目</w:t>
            </w:r>
            <w:r>
              <w:rPr>
                <w:rFonts w:hint="eastAsia"/>
                <w:sz w:val="24"/>
              </w:rPr>
              <w:t>运输原料和产品的车辆均需要冲洗。</w:t>
            </w:r>
          </w:p>
          <w:p w14:paraId="733DB7C8">
            <w:pPr>
              <w:widowControl/>
              <w:spacing w:line="360" w:lineRule="auto"/>
              <w:ind w:firstLine="480" w:firstLineChars="200"/>
              <w:rPr>
                <w:sz w:val="24"/>
              </w:rPr>
            </w:pPr>
            <w:r>
              <w:rPr>
                <w:rFonts w:hint="eastAsia"/>
                <w:sz w:val="24"/>
              </w:rPr>
              <w:t>本项目物料年用量共计约为20万</w:t>
            </w:r>
            <w:r>
              <w:rPr>
                <w:sz w:val="24"/>
              </w:rPr>
              <w:t>t/a</w:t>
            </w:r>
            <w:r>
              <w:rPr>
                <w:rFonts w:hint="eastAsia"/>
                <w:sz w:val="24"/>
              </w:rPr>
              <w:t>，日消耗量约为666.7</w:t>
            </w:r>
            <w:r>
              <w:rPr>
                <w:sz w:val="24"/>
              </w:rPr>
              <w:t>t/d</w:t>
            </w:r>
            <w:r>
              <w:rPr>
                <w:rFonts w:hint="eastAsia"/>
                <w:sz w:val="24"/>
              </w:rPr>
              <w:t>，按单车</w:t>
            </w:r>
            <w:r>
              <w:rPr>
                <w:sz w:val="24"/>
              </w:rPr>
              <w:t>1</w:t>
            </w:r>
            <w:r>
              <w:rPr>
                <w:rFonts w:hint="eastAsia"/>
                <w:sz w:val="24"/>
              </w:rPr>
              <w:t>次运输量最大为</w:t>
            </w:r>
            <w:r>
              <w:rPr>
                <w:sz w:val="24"/>
              </w:rPr>
              <w:t>20t</w:t>
            </w:r>
            <w:r>
              <w:rPr>
                <w:rFonts w:hint="eastAsia"/>
                <w:sz w:val="24"/>
              </w:rPr>
              <w:t>计算，平均每天运输34车次。车辆外侧冲洗水量约为</w:t>
            </w:r>
            <w:r>
              <w:rPr>
                <w:sz w:val="24"/>
              </w:rPr>
              <w:t>40L/</w:t>
            </w:r>
            <w:r>
              <w:rPr>
                <w:rFonts w:hint="eastAsia"/>
                <w:sz w:val="24"/>
              </w:rPr>
              <w:t>辆</w:t>
            </w:r>
            <w:r>
              <w:rPr>
                <w:sz w:val="24"/>
              </w:rPr>
              <w:t>⸱</w:t>
            </w:r>
            <w:r>
              <w:rPr>
                <w:rFonts w:hint="eastAsia"/>
                <w:sz w:val="24"/>
              </w:rPr>
              <w:t>次，则车辆冲洗用水量为1.36</w:t>
            </w:r>
            <w:r>
              <w:rPr>
                <w:sz w:val="24"/>
              </w:rPr>
              <w:t>m</w:t>
            </w:r>
            <w:r>
              <w:rPr>
                <w:sz w:val="24"/>
                <w:vertAlign w:val="superscript"/>
              </w:rPr>
              <w:t>3</w:t>
            </w:r>
            <w:r>
              <w:rPr>
                <w:sz w:val="24"/>
              </w:rPr>
              <w:t>/d</w:t>
            </w:r>
            <w:r>
              <w:rPr>
                <w:rFonts w:hint="eastAsia"/>
                <w:sz w:val="24"/>
              </w:rPr>
              <w:t>。</w:t>
            </w:r>
          </w:p>
          <w:p w14:paraId="21C0701D">
            <w:pPr>
              <w:widowControl/>
              <w:spacing w:line="360" w:lineRule="auto"/>
              <w:ind w:firstLine="480" w:firstLineChars="200"/>
              <w:rPr>
                <w:sz w:val="24"/>
              </w:rPr>
            </w:pPr>
            <w:r>
              <w:rPr>
                <w:rFonts w:hint="eastAsia"/>
                <w:sz w:val="24"/>
              </w:rPr>
              <w:t>本项目年生产干粉砂浆产品2</w:t>
            </w:r>
            <w:r>
              <w:rPr>
                <w:sz w:val="24"/>
              </w:rPr>
              <w:t>0万</w:t>
            </w:r>
            <w:r>
              <w:rPr>
                <w:rFonts w:hint="eastAsia"/>
                <w:sz w:val="24"/>
              </w:rPr>
              <w:t>t</w:t>
            </w:r>
            <w:r>
              <w:rPr>
                <w:sz w:val="24"/>
              </w:rPr>
              <w:t>/a</w:t>
            </w:r>
            <w:r>
              <w:rPr>
                <w:rFonts w:hint="eastAsia"/>
                <w:sz w:val="24"/>
              </w:rPr>
              <w:t>，</w:t>
            </w:r>
            <w:r>
              <w:rPr>
                <w:sz w:val="24"/>
              </w:rPr>
              <w:t>按单车1次运输量最大为20t计算</w:t>
            </w:r>
            <w:r>
              <w:rPr>
                <w:rFonts w:hint="eastAsia"/>
                <w:sz w:val="24"/>
              </w:rPr>
              <w:t>，日运输量为666.7</w:t>
            </w:r>
            <w:r>
              <w:rPr>
                <w:sz w:val="24"/>
              </w:rPr>
              <w:t>t/d</w:t>
            </w:r>
            <w:r>
              <w:rPr>
                <w:rFonts w:hint="eastAsia"/>
                <w:sz w:val="24"/>
              </w:rPr>
              <w:t>，平均每天运输34车次。</w:t>
            </w:r>
            <w:r>
              <w:rPr>
                <w:sz w:val="24"/>
              </w:rPr>
              <w:t>车辆外侧冲洗水量约为40L/辆∙次，则车辆冲洗用水量为</w:t>
            </w:r>
            <w:r>
              <w:rPr>
                <w:rFonts w:hint="eastAsia"/>
                <w:sz w:val="24"/>
              </w:rPr>
              <w:t>1.36</w:t>
            </w:r>
            <w:r>
              <w:rPr>
                <w:sz w:val="24"/>
              </w:rPr>
              <w:t>m</w:t>
            </w:r>
            <w:r>
              <w:rPr>
                <w:sz w:val="24"/>
                <w:vertAlign w:val="superscript"/>
              </w:rPr>
              <w:t>3</w:t>
            </w:r>
            <w:r>
              <w:rPr>
                <w:sz w:val="24"/>
              </w:rPr>
              <w:t>/d。</w:t>
            </w:r>
          </w:p>
          <w:p w14:paraId="6E99D722">
            <w:pPr>
              <w:widowControl/>
              <w:spacing w:line="360" w:lineRule="auto"/>
              <w:ind w:firstLine="480" w:firstLineChars="200"/>
              <w:rPr>
                <w:sz w:val="24"/>
              </w:rPr>
            </w:pPr>
            <w:r>
              <w:rPr>
                <w:sz w:val="24"/>
              </w:rPr>
              <w:t>冲洗水损耗量按20%计，则</w:t>
            </w:r>
            <w:r>
              <w:rPr>
                <w:rFonts w:hint="eastAsia"/>
                <w:sz w:val="24"/>
              </w:rPr>
              <w:t>补水量为</w:t>
            </w:r>
            <w:r>
              <w:rPr>
                <w:sz w:val="24"/>
              </w:rPr>
              <w:t>0.544m</w:t>
            </w:r>
            <w:r>
              <w:rPr>
                <w:sz w:val="24"/>
                <w:vertAlign w:val="superscript"/>
              </w:rPr>
              <w:t>3</w:t>
            </w:r>
            <w:r>
              <w:rPr>
                <w:sz w:val="24"/>
              </w:rPr>
              <w:t>/d</w:t>
            </w:r>
            <w:r>
              <w:rPr>
                <w:rFonts w:hint="eastAsia"/>
                <w:sz w:val="24"/>
              </w:rPr>
              <w:t>，循环水量</w:t>
            </w:r>
            <w:r>
              <w:rPr>
                <w:sz w:val="24"/>
              </w:rPr>
              <w:t>为</w:t>
            </w:r>
            <w:r>
              <w:rPr>
                <w:rFonts w:hint="eastAsia"/>
                <w:sz w:val="24"/>
              </w:rPr>
              <w:t>2.176</w:t>
            </w:r>
            <w:r>
              <w:rPr>
                <w:sz w:val="24"/>
              </w:rPr>
              <w:t>m</w:t>
            </w:r>
            <w:r>
              <w:rPr>
                <w:sz w:val="24"/>
                <w:vertAlign w:val="superscript"/>
              </w:rPr>
              <w:t>3</w:t>
            </w:r>
            <w:r>
              <w:rPr>
                <w:sz w:val="24"/>
              </w:rPr>
              <w:t>/d。</w:t>
            </w:r>
          </w:p>
          <w:p w14:paraId="1EDF21F3">
            <w:pPr>
              <w:spacing w:line="360" w:lineRule="auto"/>
              <w:ind w:firstLine="480" w:firstLineChars="200"/>
              <w:rPr>
                <w:sz w:val="24"/>
              </w:rPr>
            </w:pPr>
            <w:r>
              <w:rPr>
                <w:sz w:val="24"/>
              </w:rPr>
              <w:t>（3）绿化用水：本项目绿化面积</w:t>
            </w:r>
            <w:r>
              <w:rPr>
                <w:rFonts w:hint="eastAsia"/>
                <w:sz w:val="24"/>
              </w:rPr>
              <w:t>600</w:t>
            </w:r>
            <w:r>
              <w:rPr>
                <w:sz w:val="24"/>
              </w:rPr>
              <w:t>m</w:t>
            </w:r>
            <w:r>
              <w:rPr>
                <w:sz w:val="24"/>
                <w:vertAlign w:val="superscript"/>
              </w:rPr>
              <w:t>2</w:t>
            </w:r>
            <w:r>
              <w:rPr>
                <w:sz w:val="24"/>
              </w:rPr>
              <w:t>，根据《山西省用水定额 第3部分 服务业用水定额》（DB14/T 1049.3-2021）中6.5 公共设施管理中表11确定绿化用水定额按</w:t>
            </w:r>
            <w:r>
              <w:rPr>
                <w:rFonts w:hint="eastAsia"/>
                <w:sz w:val="24"/>
              </w:rPr>
              <w:t>1.5</w:t>
            </w:r>
            <w:r>
              <w:rPr>
                <w:sz w:val="24"/>
              </w:rPr>
              <w:t>L/m</w:t>
            </w:r>
            <w:r>
              <w:rPr>
                <w:sz w:val="24"/>
                <w:vertAlign w:val="superscript"/>
              </w:rPr>
              <w:t>2</w:t>
            </w:r>
            <w:r>
              <w:rPr>
                <w:sz w:val="24"/>
              </w:rPr>
              <w:t>·d计，用水量为</w:t>
            </w:r>
            <w:r>
              <w:rPr>
                <w:rFonts w:hint="eastAsia"/>
                <w:sz w:val="24"/>
              </w:rPr>
              <w:t>0.9</w:t>
            </w:r>
            <w:r>
              <w:rPr>
                <w:sz w:val="24"/>
              </w:rPr>
              <w:t>m</w:t>
            </w:r>
            <w:r>
              <w:rPr>
                <w:sz w:val="24"/>
                <w:vertAlign w:val="superscript"/>
              </w:rPr>
              <w:t>3</w:t>
            </w:r>
            <w:r>
              <w:rPr>
                <w:sz w:val="24"/>
              </w:rPr>
              <w:t>/d。</w:t>
            </w:r>
          </w:p>
          <w:p w14:paraId="71261EA6">
            <w:pPr>
              <w:pStyle w:val="549"/>
              <w:spacing w:line="360" w:lineRule="auto"/>
              <w:ind w:firstLine="480" w:firstLineChars="200"/>
              <w:jc w:val="both"/>
              <w:rPr>
                <w:rFonts w:ascii="Times New Roman"/>
                <w:color w:val="auto"/>
              </w:rPr>
            </w:pPr>
            <w:r>
              <w:rPr>
                <w:rFonts w:ascii="Times New Roman"/>
                <w:color w:val="auto"/>
              </w:rPr>
              <w:t>（4）硬化</w:t>
            </w:r>
            <w:r>
              <w:rPr>
                <w:rFonts w:hint="eastAsia" w:ascii="Times New Roman"/>
                <w:color w:val="auto"/>
              </w:rPr>
              <w:t>降尘</w:t>
            </w:r>
            <w:r>
              <w:rPr>
                <w:rFonts w:ascii="Times New Roman"/>
                <w:color w:val="auto"/>
              </w:rPr>
              <w:t>洒水：本项目厂区内</w:t>
            </w:r>
            <w:r>
              <w:rPr>
                <w:rFonts w:hint="eastAsia" w:ascii="Times New Roman"/>
                <w:color w:val="auto"/>
              </w:rPr>
              <w:t>道路</w:t>
            </w:r>
            <w:r>
              <w:rPr>
                <w:rFonts w:ascii="Times New Roman"/>
                <w:color w:val="auto"/>
              </w:rPr>
              <w:t>面积</w:t>
            </w:r>
            <w:r>
              <w:rPr>
                <w:rFonts w:hint="eastAsia" w:ascii="Times New Roman"/>
                <w:color w:val="auto"/>
              </w:rPr>
              <w:t>约1823</w:t>
            </w:r>
            <w:r>
              <w:rPr>
                <w:rFonts w:ascii="Times New Roman"/>
                <w:color w:val="auto"/>
              </w:rPr>
              <w:t>m</w:t>
            </w:r>
            <w:r>
              <w:rPr>
                <w:rFonts w:ascii="Times New Roman"/>
                <w:color w:val="auto"/>
                <w:vertAlign w:val="superscript"/>
              </w:rPr>
              <w:t>2</w:t>
            </w:r>
            <w:r>
              <w:rPr>
                <w:rFonts w:ascii="Times New Roman"/>
                <w:color w:val="auto"/>
              </w:rPr>
              <w:t>，根据《山西省用水定额 第3部分 服务业用水定额》（DB14/T 1049.3-2021）中6.5公共设施管理中表10确定硬化道路洒水用水量按</w:t>
            </w:r>
            <w:r>
              <w:rPr>
                <w:rFonts w:hint="eastAsia" w:ascii="Times New Roman"/>
                <w:color w:val="auto"/>
              </w:rPr>
              <w:t>1.5</w:t>
            </w:r>
            <w:r>
              <w:rPr>
                <w:rFonts w:ascii="Times New Roman"/>
                <w:color w:val="auto"/>
              </w:rPr>
              <w:t>L/m</w:t>
            </w:r>
            <w:r>
              <w:rPr>
                <w:rFonts w:ascii="Times New Roman"/>
                <w:color w:val="auto"/>
                <w:vertAlign w:val="superscript"/>
              </w:rPr>
              <w:t>2</w:t>
            </w:r>
            <w:r>
              <w:rPr>
                <w:rFonts w:ascii="Times New Roman"/>
                <w:color w:val="auto"/>
              </w:rPr>
              <w:t>·d计，用水量为</w:t>
            </w:r>
            <w:r>
              <w:rPr>
                <w:rFonts w:hint="eastAsia" w:ascii="Times New Roman"/>
                <w:color w:val="auto"/>
              </w:rPr>
              <w:t>2.73</w:t>
            </w:r>
            <w:r>
              <w:rPr>
                <w:rFonts w:ascii="Times New Roman"/>
                <w:color w:val="auto"/>
              </w:rPr>
              <w:t>m</w:t>
            </w:r>
            <w:r>
              <w:rPr>
                <w:rFonts w:ascii="Times New Roman"/>
                <w:color w:val="auto"/>
                <w:vertAlign w:val="superscript"/>
              </w:rPr>
              <w:t>3</w:t>
            </w:r>
            <w:r>
              <w:rPr>
                <w:rFonts w:ascii="Times New Roman"/>
                <w:color w:val="auto"/>
              </w:rPr>
              <w:t>/d。</w:t>
            </w:r>
          </w:p>
          <w:p w14:paraId="5E72A90F">
            <w:pPr>
              <w:spacing w:line="360" w:lineRule="auto"/>
              <w:ind w:firstLine="480" w:firstLineChars="200"/>
              <w:rPr>
                <w:b/>
                <w:sz w:val="24"/>
              </w:rPr>
            </w:pPr>
            <w:r>
              <w:rPr>
                <w:sz w:val="24"/>
              </w:rPr>
              <w:t>（5）原料库抑尘用水：本项目原料库采用</w:t>
            </w:r>
            <w:r>
              <w:rPr>
                <w:rFonts w:hint="eastAsia"/>
                <w:sz w:val="24"/>
              </w:rPr>
              <w:t>雾炮车</w:t>
            </w:r>
            <w:r>
              <w:rPr>
                <w:sz w:val="24"/>
              </w:rPr>
              <w:t>喷雾降尘，洒水量按1.5L/（m</w:t>
            </w:r>
            <w:r>
              <w:rPr>
                <w:sz w:val="24"/>
                <w:vertAlign w:val="superscript"/>
              </w:rPr>
              <w:t>2</w:t>
            </w:r>
            <w:r>
              <w:rPr>
                <w:sz w:val="24"/>
              </w:rPr>
              <w:t>·次）、2次/d计，洒水面积按</w:t>
            </w:r>
            <w:r>
              <w:rPr>
                <w:rFonts w:hint="eastAsia"/>
                <w:sz w:val="24"/>
              </w:rPr>
              <w:t>750</w:t>
            </w:r>
            <w:r>
              <w:rPr>
                <w:sz w:val="24"/>
              </w:rPr>
              <w:t>m</w:t>
            </w:r>
            <w:r>
              <w:rPr>
                <w:sz w:val="24"/>
                <w:vertAlign w:val="superscript"/>
              </w:rPr>
              <w:t>2</w:t>
            </w:r>
            <w:r>
              <w:rPr>
                <w:sz w:val="24"/>
              </w:rPr>
              <w:t>计，则本项目每天原料库洒水用量为2.</w:t>
            </w:r>
            <w:r>
              <w:rPr>
                <w:rFonts w:hint="eastAsia"/>
                <w:sz w:val="24"/>
              </w:rPr>
              <w:t>25</w:t>
            </w:r>
            <w:r>
              <w:rPr>
                <w:sz w:val="24"/>
              </w:rPr>
              <w:t>m</w:t>
            </w:r>
            <w:r>
              <w:rPr>
                <w:sz w:val="24"/>
                <w:vertAlign w:val="superscript"/>
              </w:rPr>
              <w:t>3</w:t>
            </w:r>
            <w:r>
              <w:rPr>
                <w:sz w:val="24"/>
              </w:rPr>
              <w:t>/d。</w:t>
            </w:r>
          </w:p>
          <w:p w14:paraId="6FCC8DDF">
            <w:pPr>
              <w:spacing w:line="360" w:lineRule="auto"/>
              <w:rPr>
                <w:b/>
                <w:color w:val="000000"/>
                <w:sz w:val="24"/>
              </w:rPr>
            </w:pPr>
            <w:r>
              <w:rPr>
                <w:rFonts w:hint="eastAsia"/>
                <w:b/>
                <w:color w:val="000000"/>
                <w:sz w:val="24"/>
              </w:rPr>
              <w:t>2.8.4 排水</w:t>
            </w:r>
          </w:p>
          <w:p w14:paraId="156B93A8">
            <w:pPr>
              <w:spacing w:line="360" w:lineRule="auto"/>
              <w:ind w:firstLine="480" w:firstLineChars="200"/>
              <w:rPr>
                <w:snapToGrid w:val="0"/>
                <w:sz w:val="24"/>
              </w:rPr>
            </w:pPr>
            <w:r>
              <w:rPr>
                <w:snapToGrid w:val="0"/>
                <w:sz w:val="24"/>
              </w:rPr>
              <w:t>本项目排水实行雨污分流制。生产废水循环利用不外排，生活污水</w:t>
            </w:r>
            <w:r>
              <w:rPr>
                <w:rFonts w:hint="eastAsia"/>
                <w:snapToGrid w:val="0"/>
                <w:sz w:val="24"/>
              </w:rPr>
              <w:t>进入厂区内化粪池，定期清掏</w:t>
            </w:r>
            <w:r>
              <w:rPr>
                <w:snapToGrid w:val="0"/>
                <w:sz w:val="24"/>
              </w:rPr>
              <w:t>。</w:t>
            </w:r>
            <w:r>
              <w:rPr>
                <w:rFonts w:hint="eastAsia"/>
                <w:snapToGrid w:val="0"/>
                <w:sz w:val="24"/>
              </w:rPr>
              <w:t>初期雨水经收集后用于厂区道路洒水抑尘。</w:t>
            </w:r>
          </w:p>
          <w:p w14:paraId="5B0C6062">
            <w:pPr>
              <w:spacing w:line="360" w:lineRule="auto"/>
              <w:ind w:firstLine="480" w:firstLineChars="200"/>
              <w:rPr>
                <w:snapToGrid w:val="0"/>
                <w:sz w:val="24"/>
              </w:rPr>
            </w:pPr>
            <w:r>
              <w:rPr>
                <w:rFonts w:hint="eastAsia"/>
                <w:snapToGrid w:val="0"/>
                <w:sz w:val="24"/>
              </w:rPr>
              <w:t>项目主要用排水单元见表2-6。</w:t>
            </w:r>
          </w:p>
          <w:p w14:paraId="04DA6CF7">
            <w:pPr>
              <w:adjustRightInd w:val="0"/>
              <w:snapToGrid w:val="0"/>
              <w:spacing w:line="360" w:lineRule="auto"/>
              <w:jc w:val="center"/>
              <w:rPr>
                <w:b/>
                <w:szCs w:val="21"/>
              </w:rPr>
            </w:pPr>
            <w:r>
              <w:rPr>
                <w:b/>
                <w:szCs w:val="21"/>
              </w:rPr>
              <w:t>表2-6 项目</w:t>
            </w:r>
            <w:r>
              <w:rPr>
                <w:rFonts w:hint="eastAsia"/>
                <w:b/>
                <w:szCs w:val="21"/>
              </w:rPr>
              <w:t>主要用水单元用排水情况表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354"/>
              <w:gridCol w:w="1060"/>
              <w:gridCol w:w="851"/>
              <w:gridCol w:w="991"/>
              <w:gridCol w:w="707"/>
              <w:gridCol w:w="993"/>
              <w:gridCol w:w="1344"/>
            </w:tblGrid>
            <w:tr w14:paraId="40D42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9" w:type="pct"/>
                  <w:vAlign w:val="center"/>
                </w:tcPr>
                <w:p w14:paraId="4A92FFA5">
                  <w:pPr>
                    <w:widowControl/>
                    <w:jc w:val="center"/>
                    <w:rPr>
                      <w:szCs w:val="21"/>
                    </w:rPr>
                  </w:pPr>
                  <w:r>
                    <w:rPr>
                      <w:rFonts w:hint="eastAsia"/>
                      <w:szCs w:val="21"/>
                    </w:rPr>
                    <w:t>用水单元</w:t>
                  </w:r>
                </w:p>
              </w:tc>
              <w:tc>
                <w:tcPr>
                  <w:tcW w:w="840" w:type="pct"/>
                  <w:vAlign w:val="center"/>
                </w:tcPr>
                <w:p w14:paraId="04663476">
                  <w:pPr>
                    <w:widowControl/>
                    <w:jc w:val="center"/>
                    <w:rPr>
                      <w:szCs w:val="21"/>
                    </w:rPr>
                  </w:pPr>
                  <w:r>
                    <w:rPr>
                      <w:rFonts w:hint="eastAsia"/>
                      <w:szCs w:val="21"/>
                    </w:rPr>
                    <w:t>用水</w:t>
                  </w:r>
                </w:p>
                <w:p w14:paraId="5FF74C56">
                  <w:pPr>
                    <w:widowControl/>
                    <w:jc w:val="center"/>
                    <w:rPr>
                      <w:szCs w:val="21"/>
                    </w:rPr>
                  </w:pPr>
                  <w:r>
                    <w:rPr>
                      <w:rFonts w:hint="eastAsia"/>
                      <w:szCs w:val="21"/>
                    </w:rPr>
                    <w:t>标准</w:t>
                  </w:r>
                </w:p>
              </w:tc>
              <w:tc>
                <w:tcPr>
                  <w:tcW w:w="658" w:type="pct"/>
                  <w:vAlign w:val="center"/>
                </w:tcPr>
                <w:p w14:paraId="2D38654C">
                  <w:pPr>
                    <w:widowControl/>
                    <w:jc w:val="center"/>
                    <w:rPr>
                      <w:szCs w:val="21"/>
                    </w:rPr>
                  </w:pPr>
                  <w:r>
                    <w:rPr>
                      <w:rFonts w:hint="eastAsia"/>
                      <w:szCs w:val="21"/>
                    </w:rPr>
                    <w:t>用水规模</w:t>
                  </w:r>
                </w:p>
              </w:tc>
              <w:tc>
                <w:tcPr>
                  <w:tcW w:w="528" w:type="pct"/>
                  <w:vAlign w:val="center"/>
                </w:tcPr>
                <w:p w14:paraId="6792D738">
                  <w:pPr>
                    <w:widowControl/>
                    <w:jc w:val="center"/>
                    <w:rPr>
                      <w:szCs w:val="21"/>
                    </w:rPr>
                  </w:pPr>
                  <w:r>
                    <w:rPr>
                      <w:rFonts w:hint="eastAsia"/>
                      <w:szCs w:val="21"/>
                    </w:rPr>
                    <w:t>新鲜水使用量</w:t>
                  </w:r>
                  <w:r>
                    <w:rPr>
                      <w:szCs w:val="21"/>
                    </w:rPr>
                    <w:t>m</w:t>
                  </w:r>
                  <w:r>
                    <w:rPr>
                      <w:szCs w:val="21"/>
                      <w:vertAlign w:val="superscript"/>
                    </w:rPr>
                    <w:t>3</w:t>
                  </w:r>
                  <w:r>
                    <w:rPr>
                      <w:szCs w:val="21"/>
                    </w:rPr>
                    <w:t>/d</w:t>
                  </w:r>
                </w:p>
              </w:tc>
              <w:tc>
                <w:tcPr>
                  <w:tcW w:w="615" w:type="pct"/>
                  <w:vAlign w:val="center"/>
                </w:tcPr>
                <w:p w14:paraId="07576B8B">
                  <w:pPr>
                    <w:widowControl/>
                    <w:jc w:val="center"/>
                    <w:rPr>
                      <w:szCs w:val="21"/>
                    </w:rPr>
                  </w:pPr>
                  <w:r>
                    <w:rPr>
                      <w:rFonts w:hint="eastAsia"/>
                      <w:szCs w:val="21"/>
                    </w:rPr>
                    <w:t>回用水量</w:t>
                  </w:r>
                  <w:r>
                    <w:rPr>
                      <w:szCs w:val="21"/>
                    </w:rPr>
                    <w:t>m</w:t>
                  </w:r>
                  <w:r>
                    <w:rPr>
                      <w:szCs w:val="21"/>
                      <w:vertAlign w:val="superscript"/>
                    </w:rPr>
                    <w:t>3</w:t>
                  </w:r>
                  <w:r>
                    <w:rPr>
                      <w:szCs w:val="21"/>
                    </w:rPr>
                    <w:t>/d</w:t>
                  </w:r>
                </w:p>
              </w:tc>
              <w:tc>
                <w:tcPr>
                  <w:tcW w:w="439" w:type="pct"/>
                  <w:vAlign w:val="center"/>
                </w:tcPr>
                <w:p w14:paraId="3FC57210">
                  <w:pPr>
                    <w:widowControl/>
                    <w:jc w:val="center"/>
                    <w:rPr>
                      <w:szCs w:val="21"/>
                    </w:rPr>
                  </w:pPr>
                  <w:r>
                    <w:rPr>
                      <w:rFonts w:hint="eastAsia"/>
                      <w:szCs w:val="21"/>
                    </w:rPr>
                    <w:t>损耗水量</w:t>
                  </w:r>
                  <w:r>
                    <w:rPr>
                      <w:szCs w:val="21"/>
                    </w:rPr>
                    <w:t>m</w:t>
                  </w:r>
                  <w:r>
                    <w:rPr>
                      <w:szCs w:val="21"/>
                      <w:vertAlign w:val="superscript"/>
                    </w:rPr>
                    <w:t>3</w:t>
                  </w:r>
                  <w:r>
                    <w:rPr>
                      <w:szCs w:val="21"/>
                    </w:rPr>
                    <w:t>/d</w:t>
                  </w:r>
                </w:p>
              </w:tc>
              <w:tc>
                <w:tcPr>
                  <w:tcW w:w="616" w:type="pct"/>
                  <w:vAlign w:val="center"/>
                </w:tcPr>
                <w:p w14:paraId="14B59CFE">
                  <w:pPr>
                    <w:widowControl/>
                    <w:jc w:val="center"/>
                    <w:rPr>
                      <w:szCs w:val="21"/>
                    </w:rPr>
                  </w:pPr>
                  <w:r>
                    <w:rPr>
                      <w:rFonts w:hint="eastAsia"/>
                      <w:szCs w:val="21"/>
                    </w:rPr>
                    <w:t>污水产生量</w:t>
                  </w:r>
                  <w:r>
                    <w:rPr>
                      <w:szCs w:val="21"/>
                    </w:rPr>
                    <w:t>m</w:t>
                  </w:r>
                  <w:r>
                    <w:rPr>
                      <w:szCs w:val="21"/>
                      <w:vertAlign w:val="superscript"/>
                    </w:rPr>
                    <w:t>3</w:t>
                  </w:r>
                  <w:r>
                    <w:rPr>
                      <w:szCs w:val="21"/>
                    </w:rPr>
                    <w:t>/d</w:t>
                  </w:r>
                </w:p>
              </w:tc>
              <w:tc>
                <w:tcPr>
                  <w:tcW w:w="834" w:type="pct"/>
                  <w:vAlign w:val="center"/>
                </w:tcPr>
                <w:p w14:paraId="16547333">
                  <w:pPr>
                    <w:widowControl/>
                    <w:jc w:val="center"/>
                    <w:rPr>
                      <w:szCs w:val="21"/>
                    </w:rPr>
                  </w:pPr>
                  <w:r>
                    <w:rPr>
                      <w:rFonts w:hint="eastAsia"/>
                      <w:szCs w:val="21"/>
                    </w:rPr>
                    <w:t>备注</w:t>
                  </w:r>
                </w:p>
              </w:tc>
            </w:tr>
            <w:tr w14:paraId="18F8A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9" w:type="pct"/>
                  <w:vAlign w:val="center"/>
                </w:tcPr>
                <w:p w14:paraId="25881199">
                  <w:pPr>
                    <w:widowControl/>
                    <w:jc w:val="center"/>
                    <w:rPr>
                      <w:szCs w:val="21"/>
                    </w:rPr>
                  </w:pPr>
                  <w:r>
                    <w:rPr>
                      <w:rFonts w:hint="eastAsia"/>
                      <w:szCs w:val="21"/>
                    </w:rPr>
                    <w:t>原料库抑尘</w:t>
                  </w:r>
                </w:p>
              </w:tc>
              <w:tc>
                <w:tcPr>
                  <w:tcW w:w="840" w:type="pct"/>
                  <w:vAlign w:val="center"/>
                </w:tcPr>
                <w:p w14:paraId="7017D3AD">
                  <w:pPr>
                    <w:widowControl/>
                    <w:jc w:val="center"/>
                    <w:rPr>
                      <w:szCs w:val="21"/>
                    </w:rPr>
                  </w:pPr>
                  <w:r>
                    <w:rPr>
                      <w:szCs w:val="21"/>
                    </w:rPr>
                    <w:t>1.5L/(m</w:t>
                  </w:r>
                  <w:r>
                    <w:rPr>
                      <w:szCs w:val="21"/>
                      <w:vertAlign w:val="superscript"/>
                    </w:rPr>
                    <w:t>2</w:t>
                  </w:r>
                  <w:r>
                    <w:rPr>
                      <w:szCs w:val="21"/>
                    </w:rPr>
                    <w:t>·</w:t>
                  </w:r>
                  <w:r>
                    <w:rPr>
                      <w:rFonts w:hint="eastAsia"/>
                      <w:szCs w:val="21"/>
                    </w:rPr>
                    <w:t>次</w:t>
                  </w:r>
                  <w:r>
                    <w:rPr>
                      <w:szCs w:val="21"/>
                    </w:rPr>
                    <w:t>)</w:t>
                  </w:r>
                </w:p>
              </w:tc>
              <w:tc>
                <w:tcPr>
                  <w:tcW w:w="658" w:type="pct"/>
                  <w:vAlign w:val="center"/>
                </w:tcPr>
                <w:p w14:paraId="5D207D6C">
                  <w:pPr>
                    <w:widowControl/>
                    <w:jc w:val="center"/>
                    <w:rPr>
                      <w:szCs w:val="21"/>
                    </w:rPr>
                  </w:pPr>
                  <w:r>
                    <w:rPr>
                      <w:szCs w:val="21"/>
                    </w:rPr>
                    <w:t>2</w:t>
                  </w:r>
                  <w:r>
                    <w:rPr>
                      <w:rFonts w:hint="eastAsia"/>
                      <w:szCs w:val="21"/>
                    </w:rPr>
                    <w:t>次</w:t>
                  </w:r>
                  <w:r>
                    <w:rPr>
                      <w:szCs w:val="21"/>
                    </w:rPr>
                    <w:t>/d</w:t>
                  </w:r>
                </w:p>
              </w:tc>
              <w:tc>
                <w:tcPr>
                  <w:tcW w:w="528" w:type="pct"/>
                  <w:vAlign w:val="center"/>
                </w:tcPr>
                <w:p w14:paraId="42786F87">
                  <w:pPr>
                    <w:widowControl/>
                    <w:jc w:val="center"/>
                    <w:rPr>
                      <w:szCs w:val="21"/>
                    </w:rPr>
                  </w:pPr>
                  <w:r>
                    <w:rPr>
                      <w:szCs w:val="21"/>
                    </w:rPr>
                    <w:t>2.25</w:t>
                  </w:r>
                </w:p>
              </w:tc>
              <w:tc>
                <w:tcPr>
                  <w:tcW w:w="615" w:type="pct"/>
                  <w:vAlign w:val="center"/>
                </w:tcPr>
                <w:p w14:paraId="215B58F9">
                  <w:pPr>
                    <w:widowControl/>
                    <w:jc w:val="center"/>
                    <w:rPr>
                      <w:szCs w:val="21"/>
                    </w:rPr>
                  </w:pPr>
                  <w:r>
                    <w:rPr>
                      <w:szCs w:val="21"/>
                    </w:rPr>
                    <w:t>0</w:t>
                  </w:r>
                </w:p>
              </w:tc>
              <w:tc>
                <w:tcPr>
                  <w:tcW w:w="439" w:type="pct"/>
                  <w:vAlign w:val="center"/>
                </w:tcPr>
                <w:p w14:paraId="48711482">
                  <w:pPr>
                    <w:widowControl/>
                    <w:jc w:val="center"/>
                    <w:rPr>
                      <w:szCs w:val="21"/>
                    </w:rPr>
                  </w:pPr>
                  <w:r>
                    <w:rPr>
                      <w:szCs w:val="21"/>
                    </w:rPr>
                    <w:t>2.25</w:t>
                  </w:r>
                </w:p>
              </w:tc>
              <w:tc>
                <w:tcPr>
                  <w:tcW w:w="616" w:type="pct"/>
                  <w:vAlign w:val="center"/>
                </w:tcPr>
                <w:p w14:paraId="352CA714">
                  <w:pPr>
                    <w:widowControl/>
                    <w:jc w:val="center"/>
                    <w:rPr>
                      <w:szCs w:val="21"/>
                    </w:rPr>
                  </w:pPr>
                  <w:r>
                    <w:rPr>
                      <w:szCs w:val="21"/>
                    </w:rPr>
                    <w:t>0</w:t>
                  </w:r>
                </w:p>
              </w:tc>
              <w:tc>
                <w:tcPr>
                  <w:tcW w:w="834" w:type="pct"/>
                  <w:vAlign w:val="center"/>
                </w:tcPr>
                <w:p w14:paraId="0D127AAB">
                  <w:pPr>
                    <w:widowControl/>
                    <w:jc w:val="center"/>
                    <w:rPr>
                      <w:szCs w:val="21"/>
                    </w:rPr>
                  </w:pPr>
                  <w:r>
                    <w:rPr>
                      <w:rFonts w:hint="eastAsia"/>
                      <w:szCs w:val="21"/>
                    </w:rPr>
                    <w:t>面积</w:t>
                  </w:r>
                  <w:r>
                    <w:rPr>
                      <w:szCs w:val="21"/>
                    </w:rPr>
                    <w:t>750m</w:t>
                  </w:r>
                  <w:r>
                    <w:rPr>
                      <w:szCs w:val="21"/>
                      <w:vertAlign w:val="superscript"/>
                    </w:rPr>
                    <w:t>2</w:t>
                  </w:r>
                </w:p>
              </w:tc>
            </w:tr>
            <w:tr w14:paraId="3E634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9" w:type="pct"/>
                  <w:vAlign w:val="center"/>
                </w:tcPr>
                <w:p w14:paraId="156316DA">
                  <w:pPr>
                    <w:widowControl/>
                    <w:jc w:val="center"/>
                    <w:rPr>
                      <w:szCs w:val="21"/>
                    </w:rPr>
                  </w:pPr>
                  <w:r>
                    <w:rPr>
                      <w:rFonts w:hint="eastAsia"/>
                      <w:szCs w:val="21"/>
                    </w:rPr>
                    <w:t>洗车</w:t>
                  </w:r>
                </w:p>
              </w:tc>
              <w:tc>
                <w:tcPr>
                  <w:tcW w:w="840" w:type="pct"/>
                  <w:vAlign w:val="center"/>
                </w:tcPr>
                <w:p w14:paraId="15706E95">
                  <w:pPr>
                    <w:widowControl/>
                    <w:jc w:val="center"/>
                    <w:rPr>
                      <w:szCs w:val="21"/>
                    </w:rPr>
                  </w:pPr>
                  <w:r>
                    <w:rPr>
                      <w:szCs w:val="21"/>
                    </w:rPr>
                    <w:t>40L/</w:t>
                  </w:r>
                  <w:r>
                    <w:rPr>
                      <w:rFonts w:hint="eastAsia"/>
                      <w:szCs w:val="21"/>
                    </w:rPr>
                    <w:t>辆</w:t>
                  </w:r>
                  <w:r>
                    <w:rPr>
                      <w:szCs w:val="21"/>
                    </w:rPr>
                    <w:t>·</w:t>
                  </w:r>
                  <w:r>
                    <w:rPr>
                      <w:rFonts w:hint="eastAsia"/>
                      <w:szCs w:val="21"/>
                    </w:rPr>
                    <w:t>次</w:t>
                  </w:r>
                </w:p>
              </w:tc>
              <w:tc>
                <w:tcPr>
                  <w:tcW w:w="658" w:type="pct"/>
                  <w:vAlign w:val="center"/>
                </w:tcPr>
                <w:p w14:paraId="154F0540">
                  <w:pPr>
                    <w:widowControl/>
                    <w:jc w:val="center"/>
                    <w:rPr>
                      <w:szCs w:val="21"/>
                    </w:rPr>
                  </w:pPr>
                  <w:r>
                    <w:rPr>
                      <w:szCs w:val="21"/>
                    </w:rPr>
                    <w:t>68</w:t>
                  </w:r>
                  <w:r>
                    <w:rPr>
                      <w:rFonts w:hint="eastAsia"/>
                      <w:szCs w:val="21"/>
                    </w:rPr>
                    <w:t>次</w:t>
                  </w:r>
                  <w:r>
                    <w:rPr>
                      <w:szCs w:val="21"/>
                    </w:rPr>
                    <w:t>/d</w:t>
                  </w:r>
                </w:p>
              </w:tc>
              <w:tc>
                <w:tcPr>
                  <w:tcW w:w="528" w:type="pct"/>
                  <w:vAlign w:val="center"/>
                </w:tcPr>
                <w:p w14:paraId="138927CB">
                  <w:pPr>
                    <w:widowControl/>
                    <w:jc w:val="center"/>
                    <w:rPr>
                      <w:szCs w:val="21"/>
                    </w:rPr>
                  </w:pPr>
                  <w:r>
                    <w:rPr>
                      <w:szCs w:val="21"/>
                    </w:rPr>
                    <w:t>0.544</w:t>
                  </w:r>
                </w:p>
              </w:tc>
              <w:tc>
                <w:tcPr>
                  <w:tcW w:w="615" w:type="pct"/>
                  <w:vAlign w:val="center"/>
                </w:tcPr>
                <w:p w14:paraId="0FC84B6D">
                  <w:pPr>
                    <w:widowControl/>
                    <w:jc w:val="center"/>
                    <w:rPr>
                      <w:szCs w:val="21"/>
                    </w:rPr>
                  </w:pPr>
                  <w:r>
                    <w:rPr>
                      <w:szCs w:val="21"/>
                    </w:rPr>
                    <w:t>2.176</w:t>
                  </w:r>
                </w:p>
              </w:tc>
              <w:tc>
                <w:tcPr>
                  <w:tcW w:w="439" w:type="pct"/>
                  <w:vAlign w:val="center"/>
                </w:tcPr>
                <w:p w14:paraId="12023C50">
                  <w:pPr>
                    <w:widowControl/>
                    <w:jc w:val="center"/>
                    <w:rPr>
                      <w:szCs w:val="21"/>
                    </w:rPr>
                  </w:pPr>
                  <w:r>
                    <w:rPr>
                      <w:szCs w:val="21"/>
                    </w:rPr>
                    <w:t>0.544</w:t>
                  </w:r>
                </w:p>
              </w:tc>
              <w:tc>
                <w:tcPr>
                  <w:tcW w:w="616" w:type="pct"/>
                  <w:vAlign w:val="center"/>
                </w:tcPr>
                <w:p w14:paraId="7AD086E0">
                  <w:pPr>
                    <w:widowControl/>
                    <w:jc w:val="center"/>
                    <w:rPr>
                      <w:szCs w:val="21"/>
                    </w:rPr>
                  </w:pPr>
                  <w:r>
                    <w:rPr>
                      <w:szCs w:val="21"/>
                    </w:rPr>
                    <w:t>0</w:t>
                  </w:r>
                </w:p>
              </w:tc>
              <w:tc>
                <w:tcPr>
                  <w:tcW w:w="834" w:type="pct"/>
                  <w:vAlign w:val="center"/>
                </w:tcPr>
                <w:p w14:paraId="2CD339F6">
                  <w:pPr>
                    <w:widowControl/>
                    <w:jc w:val="center"/>
                    <w:rPr>
                      <w:szCs w:val="21"/>
                    </w:rPr>
                  </w:pPr>
                  <w:r>
                    <w:rPr>
                      <w:szCs w:val="21"/>
                    </w:rPr>
                    <w:t>/</w:t>
                  </w:r>
                </w:p>
              </w:tc>
            </w:tr>
            <w:tr w14:paraId="271BE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9" w:type="pct"/>
                  <w:vAlign w:val="center"/>
                </w:tcPr>
                <w:p w14:paraId="026CB648">
                  <w:pPr>
                    <w:widowControl/>
                    <w:jc w:val="center"/>
                    <w:rPr>
                      <w:szCs w:val="21"/>
                    </w:rPr>
                  </w:pPr>
                  <w:r>
                    <w:rPr>
                      <w:rFonts w:hint="eastAsia"/>
                      <w:szCs w:val="21"/>
                    </w:rPr>
                    <w:t>绿化</w:t>
                  </w:r>
                </w:p>
              </w:tc>
              <w:tc>
                <w:tcPr>
                  <w:tcW w:w="840" w:type="pct"/>
                  <w:vAlign w:val="center"/>
                </w:tcPr>
                <w:p w14:paraId="1F999A49">
                  <w:pPr>
                    <w:widowControl/>
                    <w:jc w:val="center"/>
                    <w:rPr>
                      <w:szCs w:val="21"/>
                    </w:rPr>
                  </w:pPr>
                  <w:r>
                    <w:rPr>
                      <w:rFonts w:hint="eastAsia"/>
                      <w:szCs w:val="21"/>
                    </w:rPr>
                    <w:t>1.5</w:t>
                  </w:r>
                  <w:r>
                    <w:rPr>
                      <w:szCs w:val="21"/>
                    </w:rPr>
                    <w:t>L/(m</w:t>
                  </w:r>
                  <w:r>
                    <w:rPr>
                      <w:szCs w:val="21"/>
                      <w:vertAlign w:val="superscript"/>
                    </w:rPr>
                    <w:t>2</w:t>
                  </w:r>
                  <w:r>
                    <w:rPr>
                      <w:szCs w:val="21"/>
                    </w:rPr>
                    <w:t>·d</w:t>
                  </w:r>
                  <w:r>
                    <w:rPr>
                      <w:rFonts w:hint="eastAsia"/>
                      <w:szCs w:val="21"/>
                    </w:rPr>
                    <w:t>）</w:t>
                  </w:r>
                </w:p>
              </w:tc>
              <w:tc>
                <w:tcPr>
                  <w:tcW w:w="658" w:type="pct"/>
                  <w:vAlign w:val="center"/>
                </w:tcPr>
                <w:p w14:paraId="62C0A9DA">
                  <w:pPr>
                    <w:widowControl/>
                    <w:jc w:val="center"/>
                    <w:rPr>
                      <w:szCs w:val="21"/>
                    </w:rPr>
                  </w:pPr>
                  <w:r>
                    <w:rPr>
                      <w:szCs w:val="21"/>
                    </w:rPr>
                    <w:t>600m</w:t>
                  </w:r>
                  <w:r>
                    <w:rPr>
                      <w:szCs w:val="21"/>
                      <w:vertAlign w:val="superscript"/>
                    </w:rPr>
                    <w:t>2</w:t>
                  </w:r>
                </w:p>
              </w:tc>
              <w:tc>
                <w:tcPr>
                  <w:tcW w:w="528" w:type="pct"/>
                  <w:vAlign w:val="center"/>
                </w:tcPr>
                <w:p w14:paraId="1440FE0B">
                  <w:pPr>
                    <w:widowControl/>
                    <w:jc w:val="center"/>
                    <w:rPr>
                      <w:szCs w:val="21"/>
                    </w:rPr>
                  </w:pPr>
                  <w:r>
                    <w:rPr>
                      <w:rFonts w:hint="eastAsia"/>
                      <w:szCs w:val="21"/>
                    </w:rPr>
                    <w:t>0.9</w:t>
                  </w:r>
                </w:p>
              </w:tc>
              <w:tc>
                <w:tcPr>
                  <w:tcW w:w="615" w:type="pct"/>
                  <w:vAlign w:val="center"/>
                </w:tcPr>
                <w:p w14:paraId="1C5EAA6A">
                  <w:pPr>
                    <w:widowControl/>
                    <w:jc w:val="center"/>
                    <w:rPr>
                      <w:szCs w:val="21"/>
                    </w:rPr>
                  </w:pPr>
                  <w:r>
                    <w:rPr>
                      <w:szCs w:val="21"/>
                    </w:rPr>
                    <w:t>0</w:t>
                  </w:r>
                </w:p>
              </w:tc>
              <w:tc>
                <w:tcPr>
                  <w:tcW w:w="439" w:type="pct"/>
                  <w:vAlign w:val="center"/>
                </w:tcPr>
                <w:p w14:paraId="76BC63BF">
                  <w:pPr>
                    <w:widowControl/>
                    <w:jc w:val="center"/>
                    <w:rPr>
                      <w:szCs w:val="21"/>
                    </w:rPr>
                  </w:pPr>
                  <w:r>
                    <w:rPr>
                      <w:rFonts w:hint="eastAsia"/>
                      <w:szCs w:val="21"/>
                    </w:rPr>
                    <w:t>0.9</w:t>
                  </w:r>
                </w:p>
              </w:tc>
              <w:tc>
                <w:tcPr>
                  <w:tcW w:w="616" w:type="pct"/>
                  <w:vAlign w:val="center"/>
                </w:tcPr>
                <w:p w14:paraId="344B7BEA">
                  <w:pPr>
                    <w:widowControl/>
                    <w:jc w:val="center"/>
                    <w:rPr>
                      <w:szCs w:val="21"/>
                    </w:rPr>
                  </w:pPr>
                  <w:r>
                    <w:rPr>
                      <w:szCs w:val="21"/>
                    </w:rPr>
                    <w:t>0</w:t>
                  </w:r>
                </w:p>
              </w:tc>
              <w:tc>
                <w:tcPr>
                  <w:tcW w:w="834" w:type="pct"/>
                  <w:vAlign w:val="center"/>
                </w:tcPr>
                <w:p w14:paraId="4EDD9EA4">
                  <w:pPr>
                    <w:widowControl/>
                    <w:jc w:val="center"/>
                    <w:rPr>
                      <w:szCs w:val="21"/>
                    </w:rPr>
                  </w:pPr>
                  <w:r>
                    <w:rPr>
                      <w:rFonts w:hint="eastAsia"/>
                      <w:szCs w:val="21"/>
                    </w:rPr>
                    <w:t>仅非采暖季</w:t>
                  </w:r>
                </w:p>
              </w:tc>
            </w:tr>
            <w:tr w14:paraId="26FF6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9" w:type="pct"/>
                  <w:vAlign w:val="center"/>
                </w:tcPr>
                <w:p w14:paraId="73E90641">
                  <w:pPr>
                    <w:widowControl/>
                    <w:jc w:val="center"/>
                    <w:rPr>
                      <w:szCs w:val="21"/>
                    </w:rPr>
                  </w:pPr>
                  <w:r>
                    <w:rPr>
                      <w:rFonts w:hint="eastAsia"/>
                      <w:szCs w:val="21"/>
                    </w:rPr>
                    <w:t>生活</w:t>
                  </w:r>
                </w:p>
                <w:p w14:paraId="4DA1D1D1">
                  <w:pPr>
                    <w:widowControl/>
                    <w:jc w:val="center"/>
                    <w:rPr>
                      <w:szCs w:val="21"/>
                    </w:rPr>
                  </w:pPr>
                  <w:r>
                    <w:rPr>
                      <w:rFonts w:hint="eastAsia"/>
                      <w:szCs w:val="21"/>
                    </w:rPr>
                    <w:t>用水</w:t>
                  </w:r>
                </w:p>
              </w:tc>
              <w:tc>
                <w:tcPr>
                  <w:tcW w:w="840" w:type="pct"/>
                  <w:vAlign w:val="center"/>
                </w:tcPr>
                <w:p w14:paraId="53FB0F79">
                  <w:pPr>
                    <w:widowControl/>
                    <w:jc w:val="center"/>
                    <w:rPr>
                      <w:szCs w:val="21"/>
                    </w:rPr>
                  </w:pPr>
                  <w:r>
                    <w:rPr>
                      <w:szCs w:val="21"/>
                    </w:rPr>
                    <w:t>70L/d·</w:t>
                  </w:r>
                  <w:r>
                    <w:rPr>
                      <w:rFonts w:hint="eastAsia"/>
                      <w:szCs w:val="21"/>
                    </w:rPr>
                    <w:t>人</w:t>
                  </w:r>
                </w:p>
              </w:tc>
              <w:tc>
                <w:tcPr>
                  <w:tcW w:w="658" w:type="pct"/>
                  <w:vAlign w:val="center"/>
                </w:tcPr>
                <w:p w14:paraId="618D78E9">
                  <w:pPr>
                    <w:widowControl/>
                    <w:jc w:val="center"/>
                    <w:rPr>
                      <w:szCs w:val="21"/>
                    </w:rPr>
                  </w:pPr>
                  <w:r>
                    <w:rPr>
                      <w:szCs w:val="21"/>
                    </w:rPr>
                    <w:t>10</w:t>
                  </w:r>
                  <w:r>
                    <w:rPr>
                      <w:rFonts w:hint="eastAsia"/>
                      <w:szCs w:val="21"/>
                    </w:rPr>
                    <w:t>人</w:t>
                  </w:r>
                </w:p>
              </w:tc>
              <w:tc>
                <w:tcPr>
                  <w:tcW w:w="528" w:type="pct"/>
                  <w:vAlign w:val="center"/>
                </w:tcPr>
                <w:p w14:paraId="0B646853">
                  <w:pPr>
                    <w:widowControl/>
                    <w:jc w:val="center"/>
                    <w:rPr>
                      <w:szCs w:val="21"/>
                    </w:rPr>
                  </w:pPr>
                  <w:r>
                    <w:rPr>
                      <w:szCs w:val="21"/>
                    </w:rPr>
                    <w:t>0.7</w:t>
                  </w:r>
                </w:p>
              </w:tc>
              <w:tc>
                <w:tcPr>
                  <w:tcW w:w="615" w:type="pct"/>
                  <w:vAlign w:val="center"/>
                </w:tcPr>
                <w:p w14:paraId="2602FE4A">
                  <w:pPr>
                    <w:widowControl/>
                    <w:jc w:val="center"/>
                    <w:rPr>
                      <w:szCs w:val="21"/>
                    </w:rPr>
                  </w:pPr>
                  <w:r>
                    <w:rPr>
                      <w:szCs w:val="21"/>
                    </w:rPr>
                    <w:t>0</w:t>
                  </w:r>
                </w:p>
              </w:tc>
              <w:tc>
                <w:tcPr>
                  <w:tcW w:w="439" w:type="pct"/>
                  <w:vAlign w:val="center"/>
                </w:tcPr>
                <w:p w14:paraId="5BE210F5">
                  <w:pPr>
                    <w:widowControl/>
                    <w:jc w:val="center"/>
                    <w:rPr>
                      <w:szCs w:val="21"/>
                    </w:rPr>
                  </w:pPr>
                  <w:r>
                    <w:rPr>
                      <w:szCs w:val="21"/>
                    </w:rPr>
                    <w:t>0.14</w:t>
                  </w:r>
                </w:p>
              </w:tc>
              <w:tc>
                <w:tcPr>
                  <w:tcW w:w="616" w:type="pct"/>
                  <w:vAlign w:val="center"/>
                </w:tcPr>
                <w:p w14:paraId="0AB16A10">
                  <w:pPr>
                    <w:widowControl/>
                    <w:jc w:val="center"/>
                    <w:rPr>
                      <w:szCs w:val="21"/>
                    </w:rPr>
                  </w:pPr>
                  <w:r>
                    <w:rPr>
                      <w:szCs w:val="21"/>
                    </w:rPr>
                    <w:t>0.56</w:t>
                  </w:r>
                </w:p>
              </w:tc>
              <w:tc>
                <w:tcPr>
                  <w:tcW w:w="834" w:type="pct"/>
                  <w:vAlign w:val="center"/>
                </w:tcPr>
                <w:p w14:paraId="533EA03C">
                  <w:pPr>
                    <w:widowControl/>
                    <w:jc w:val="center"/>
                    <w:rPr>
                      <w:szCs w:val="21"/>
                    </w:rPr>
                  </w:pPr>
                  <w:r>
                    <w:rPr>
                      <w:rFonts w:hint="eastAsia"/>
                      <w:szCs w:val="21"/>
                    </w:rPr>
                    <w:t>污水排入</w:t>
                  </w:r>
                </w:p>
                <w:p w14:paraId="2495EF05">
                  <w:pPr>
                    <w:widowControl/>
                    <w:jc w:val="center"/>
                    <w:rPr>
                      <w:szCs w:val="21"/>
                    </w:rPr>
                  </w:pPr>
                  <w:r>
                    <w:rPr>
                      <w:rFonts w:hint="eastAsia"/>
                      <w:szCs w:val="21"/>
                    </w:rPr>
                    <w:t>化粪池</w:t>
                  </w:r>
                </w:p>
              </w:tc>
            </w:tr>
            <w:tr w14:paraId="74DC3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9" w:type="pct"/>
                  <w:vAlign w:val="center"/>
                </w:tcPr>
                <w:p w14:paraId="2F62C16E">
                  <w:pPr>
                    <w:widowControl/>
                    <w:jc w:val="center"/>
                    <w:rPr>
                      <w:szCs w:val="21"/>
                    </w:rPr>
                  </w:pPr>
                  <w:r>
                    <w:rPr>
                      <w:rFonts w:hint="eastAsia"/>
                      <w:szCs w:val="21"/>
                    </w:rPr>
                    <w:t>道路</w:t>
                  </w:r>
                </w:p>
                <w:p w14:paraId="7AA36276">
                  <w:pPr>
                    <w:widowControl/>
                    <w:jc w:val="center"/>
                    <w:rPr>
                      <w:szCs w:val="21"/>
                    </w:rPr>
                  </w:pPr>
                  <w:r>
                    <w:rPr>
                      <w:rFonts w:hint="eastAsia"/>
                      <w:szCs w:val="21"/>
                    </w:rPr>
                    <w:t>洒水</w:t>
                  </w:r>
                </w:p>
              </w:tc>
              <w:tc>
                <w:tcPr>
                  <w:tcW w:w="840" w:type="pct"/>
                  <w:vAlign w:val="center"/>
                </w:tcPr>
                <w:p w14:paraId="69055056">
                  <w:pPr>
                    <w:widowControl/>
                    <w:jc w:val="center"/>
                    <w:rPr>
                      <w:szCs w:val="21"/>
                    </w:rPr>
                  </w:pPr>
                  <w:r>
                    <w:rPr>
                      <w:rFonts w:hint="eastAsia"/>
                      <w:szCs w:val="21"/>
                    </w:rPr>
                    <w:t>1.5</w:t>
                  </w:r>
                  <w:r>
                    <w:rPr>
                      <w:szCs w:val="21"/>
                    </w:rPr>
                    <w:t>L/(m</w:t>
                  </w:r>
                  <w:r>
                    <w:rPr>
                      <w:szCs w:val="21"/>
                      <w:vertAlign w:val="superscript"/>
                    </w:rPr>
                    <w:t>2</w:t>
                  </w:r>
                  <w:r>
                    <w:rPr>
                      <w:szCs w:val="21"/>
                    </w:rPr>
                    <w:t>·d)</w:t>
                  </w:r>
                </w:p>
              </w:tc>
              <w:tc>
                <w:tcPr>
                  <w:tcW w:w="658" w:type="pct"/>
                  <w:vAlign w:val="center"/>
                </w:tcPr>
                <w:p w14:paraId="0BE7DCAB">
                  <w:pPr>
                    <w:widowControl/>
                    <w:jc w:val="center"/>
                    <w:rPr>
                      <w:szCs w:val="21"/>
                    </w:rPr>
                  </w:pPr>
                  <w:r>
                    <w:rPr>
                      <w:szCs w:val="21"/>
                    </w:rPr>
                    <w:t>1823m</w:t>
                  </w:r>
                  <w:r>
                    <w:rPr>
                      <w:szCs w:val="21"/>
                      <w:vertAlign w:val="superscript"/>
                    </w:rPr>
                    <w:t>2</w:t>
                  </w:r>
                </w:p>
              </w:tc>
              <w:tc>
                <w:tcPr>
                  <w:tcW w:w="528" w:type="pct"/>
                  <w:vAlign w:val="center"/>
                </w:tcPr>
                <w:p w14:paraId="59095566">
                  <w:pPr>
                    <w:widowControl/>
                    <w:jc w:val="center"/>
                    <w:rPr>
                      <w:szCs w:val="21"/>
                    </w:rPr>
                  </w:pPr>
                  <w:r>
                    <w:rPr>
                      <w:rFonts w:hint="eastAsia"/>
                      <w:szCs w:val="21"/>
                    </w:rPr>
                    <w:t>2.73</w:t>
                  </w:r>
                </w:p>
              </w:tc>
              <w:tc>
                <w:tcPr>
                  <w:tcW w:w="615" w:type="pct"/>
                  <w:vAlign w:val="center"/>
                </w:tcPr>
                <w:p w14:paraId="561E1C9E">
                  <w:pPr>
                    <w:widowControl/>
                    <w:jc w:val="center"/>
                    <w:rPr>
                      <w:szCs w:val="21"/>
                    </w:rPr>
                  </w:pPr>
                  <w:r>
                    <w:rPr>
                      <w:szCs w:val="21"/>
                    </w:rPr>
                    <w:t>0</w:t>
                  </w:r>
                </w:p>
              </w:tc>
              <w:tc>
                <w:tcPr>
                  <w:tcW w:w="439" w:type="pct"/>
                  <w:vAlign w:val="center"/>
                </w:tcPr>
                <w:p w14:paraId="5C3CCF2F">
                  <w:pPr>
                    <w:widowControl/>
                    <w:jc w:val="center"/>
                    <w:rPr>
                      <w:szCs w:val="21"/>
                    </w:rPr>
                  </w:pPr>
                  <w:r>
                    <w:rPr>
                      <w:rFonts w:hint="eastAsia"/>
                      <w:szCs w:val="21"/>
                    </w:rPr>
                    <w:t>2.73</w:t>
                  </w:r>
                </w:p>
              </w:tc>
              <w:tc>
                <w:tcPr>
                  <w:tcW w:w="616" w:type="pct"/>
                  <w:vAlign w:val="center"/>
                </w:tcPr>
                <w:p w14:paraId="23E52C98">
                  <w:pPr>
                    <w:widowControl/>
                    <w:jc w:val="center"/>
                    <w:rPr>
                      <w:szCs w:val="21"/>
                    </w:rPr>
                  </w:pPr>
                  <w:r>
                    <w:rPr>
                      <w:szCs w:val="21"/>
                    </w:rPr>
                    <w:t>0</w:t>
                  </w:r>
                </w:p>
              </w:tc>
              <w:tc>
                <w:tcPr>
                  <w:tcW w:w="834" w:type="pct"/>
                  <w:vAlign w:val="center"/>
                </w:tcPr>
                <w:p w14:paraId="29EC99FD">
                  <w:pPr>
                    <w:widowControl/>
                    <w:jc w:val="center"/>
                    <w:rPr>
                      <w:szCs w:val="21"/>
                    </w:rPr>
                  </w:pPr>
                  <w:r>
                    <w:rPr>
                      <w:rFonts w:hint="eastAsia"/>
                      <w:szCs w:val="21"/>
                    </w:rPr>
                    <w:t>仅非采暖季</w:t>
                  </w:r>
                </w:p>
              </w:tc>
            </w:tr>
            <w:tr w14:paraId="47992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9" w:type="pct"/>
                  <w:vMerge w:val="restart"/>
                  <w:vAlign w:val="center"/>
                </w:tcPr>
                <w:p w14:paraId="4079FB22">
                  <w:pPr>
                    <w:widowControl/>
                    <w:jc w:val="center"/>
                    <w:rPr>
                      <w:szCs w:val="21"/>
                    </w:rPr>
                  </w:pPr>
                  <w:r>
                    <w:rPr>
                      <w:rFonts w:hint="eastAsia"/>
                      <w:szCs w:val="21"/>
                    </w:rPr>
                    <w:t>合计</w:t>
                  </w:r>
                </w:p>
              </w:tc>
              <w:tc>
                <w:tcPr>
                  <w:tcW w:w="1498" w:type="pct"/>
                  <w:gridSpan w:val="2"/>
                  <w:vAlign w:val="center"/>
                </w:tcPr>
                <w:p w14:paraId="22A42C95">
                  <w:pPr>
                    <w:widowControl/>
                    <w:jc w:val="center"/>
                    <w:rPr>
                      <w:szCs w:val="21"/>
                    </w:rPr>
                  </w:pPr>
                  <w:r>
                    <w:rPr>
                      <w:rFonts w:hint="eastAsia"/>
                      <w:szCs w:val="21"/>
                    </w:rPr>
                    <w:t>非采暖季</w:t>
                  </w:r>
                </w:p>
              </w:tc>
              <w:tc>
                <w:tcPr>
                  <w:tcW w:w="528" w:type="pct"/>
                  <w:vAlign w:val="center"/>
                </w:tcPr>
                <w:p w14:paraId="0F4F12D2">
                  <w:pPr>
                    <w:widowControl/>
                    <w:jc w:val="center"/>
                    <w:rPr>
                      <w:szCs w:val="21"/>
                    </w:rPr>
                  </w:pPr>
                  <w:r>
                    <w:rPr>
                      <w:szCs w:val="21"/>
                    </w:rPr>
                    <w:fldChar w:fldCharType="begin"/>
                  </w:r>
                  <w:r>
                    <w:rPr>
                      <w:szCs w:val="21"/>
                    </w:rPr>
                    <w:instrText xml:space="preserve"> =SUM(ABOVE) </w:instrText>
                  </w:r>
                  <w:r>
                    <w:rPr>
                      <w:szCs w:val="21"/>
                    </w:rPr>
                    <w:fldChar w:fldCharType="separate"/>
                  </w:r>
                  <w:r>
                    <w:rPr>
                      <w:szCs w:val="21"/>
                    </w:rPr>
                    <w:t>7.124</w:t>
                  </w:r>
                  <w:r>
                    <w:rPr>
                      <w:szCs w:val="21"/>
                    </w:rPr>
                    <w:fldChar w:fldCharType="end"/>
                  </w:r>
                </w:p>
              </w:tc>
              <w:tc>
                <w:tcPr>
                  <w:tcW w:w="615" w:type="pct"/>
                  <w:vAlign w:val="center"/>
                </w:tcPr>
                <w:p w14:paraId="6791A8BA">
                  <w:pPr>
                    <w:widowControl/>
                    <w:jc w:val="center"/>
                    <w:rPr>
                      <w:szCs w:val="21"/>
                    </w:rPr>
                  </w:pPr>
                  <w:r>
                    <w:rPr>
                      <w:szCs w:val="21"/>
                    </w:rPr>
                    <w:fldChar w:fldCharType="begin"/>
                  </w:r>
                  <w:r>
                    <w:rPr>
                      <w:szCs w:val="21"/>
                    </w:rPr>
                    <w:instrText xml:space="preserve"> =SUM(ABOVE) </w:instrText>
                  </w:r>
                  <w:r>
                    <w:rPr>
                      <w:szCs w:val="21"/>
                    </w:rPr>
                    <w:fldChar w:fldCharType="separate"/>
                  </w:r>
                  <w:r>
                    <w:rPr>
                      <w:szCs w:val="21"/>
                    </w:rPr>
                    <w:t>2.176</w:t>
                  </w:r>
                  <w:r>
                    <w:rPr>
                      <w:szCs w:val="21"/>
                    </w:rPr>
                    <w:fldChar w:fldCharType="end"/>
                  </w:r>
                </w:p>
              </w:tc>
              <w:tc>
                <w:tcPr>
                  <w:tcW w:w="439" w:type="pct"/>
                  <w:vAlign w:val="center"/>
                </w:tcPr>
                <w:p w14:paraId="5A02C860">
                  <w:pPr>
                    <w:widowControl/>
                    <w:jc w:val="center"/>
                    <w:rPr>
                      <w:szCs w:val="21"/>
                    </w:rPr>
                  </w:pPr>
                  <w:r>
                    <w:rPr>
                      <w:szCs w:val="21"/>
                    </w:rPr>
                    <w:fldChar w:fldCharType="begin"/>
                  </w:r>
                  <w:r>
                    <w:rPr>
                      <w:szCs w:val="21"/>
                    </w:rPr>
                    <w:instrText xml:space="preserve"> =SUM(ABOVE) </w:instrText>
                  </w:r>
                  <w:r>
                    <w:rPr>
                      <w:szCs w:val="21"/>
                    </w:rPr>
                    <w:fldChar w:fldCharType="separate"/>
                  </w:r>
                  <w:r>
                    <w:rPr>
                      <w:szCs w:val="21"/>
                    </w:rPr>
                    <w:t>6.564</w:t>
                  </w:r>
                  <w:r>
                    <w:rPr>
                      <w:szCs w:val="21"/>
                    </w:rPr>
                    <w:fldChar w:fldCharType="end"/>
                  </w:r>
                </w:p>
              </w:tc>
              <w:tc>
                <w:tcPr>
                  <w:tcW w:w="616" w:type="pct"/>
                  <w:vAlign w:val="center"/>
                </w:tcPr>
                <w:p w14:paraId="37CDFECA">
                  <w:pPr>
                    <w:widowControl/>
                    <w:jc w:val="center"/>
                    <w:rPr>
                      <w:szCs w:val="21"/>
                    </w:rPr>
                  </w:pPr>
                  <w:r>
                    <w:rPr>
                      <w:szCs w:val="21"/>
                    </w:rPr>
                    <w:fldChar w:fldCharType="begin"/>
                  </w:r>
                  <w:r>
                    <w:rPr>
                      <w:szCs w:val="21"/>
                    </w:rPr>
                    <w:instrText xml:space="preserve"> =SUM(ABOVE) </w:instrText>
                  </w:r>
                  <w:r>
                    <w:rPr>
                      <w:szCs w:val="21"/>
                    </w:rPr>
                    <w:fldChar w:fldCharType="separate"/>
                  </w:r>
                  <w:r>
                    <w:rPr>
                      <w:szCs w:val="21"/>
                    </w:rPr>
                    <w:t>0.56</w:t>
                  </w:r>
                  <w:r>
                    <w:rPr>
                      <w:szCs w:val="21"/>
                    </w:rPr>
                    <w:fldChar w:fldCharType="end"/>
                  </w:r>
                </w:p>
              </w:tc>
              <w:tc>
                <w:tcPr>
                  <w:tcW w:w="834" w:type="pct"/>
                  <w:vAlign w:val="center"/>
                </w:tcPr>
                <w:p w14:paraId="74B46525">
                  <w:pPr>
                    <w:widowControl/>
                    <w:jc w:val="center"/>
                    <w:rPr>
                      <w:szCs w:val="21"/>
                    </w:rPr>
                  </w:pPr>
                  <w:r>
                    <w:rPr>
                      <w:szCs w:val="21"/>
                    </w:rPr>
                    <w:t>/</w:t>
                  </w:r>
                </w:p>
              </w:tc>
            </w:tr>
            <w:tr w14:paraId="694D1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9" w:type="pct"/>
                  <w:vMerge w:val="continue"/>
                  <w:vAlign w:val="center"/>
                </w:tcPr>
                <w:p w14:paraId="5A73B1D0">
                  <w:pPr>
                    <w:widowControl/>
                    <w:jc w:val="center"/>
                    <w:rPr>
                      <w:szCs w:val="21"/>
                    </w:rPr>
                  </w:pPr>
                </w:p>
              </w:tc>
              <w:tc>
                <w:tcPr>
                  <w:tcW w:w="1498" w:type="pct"/>
                  <w:gridSpan w:val="2"/>
                  <w:vAlign w:val="center"/>
                </w:tcPr>
                <w:p w14:paraId="23794D62">
                  <w:pPr>
                    <w:widowControl/>
                    <w:jc w:val="center"/>
                    <w:rPr>
                      <w:szCs w:val="21"/>
                    </w:rPr>
                  </w:pPr>
                  <w:r>
                    <w:rPr>
                      <w:rFonts w:hint="eastAsia"/>
                      <w:szCs w:val="21"/>
                    </w:rPr>
                    <w:t>采暖季</w:t>
                  </w:r>
                </w:p>
              </w:tc>
              <w:tc>
                <w:tcPr>
                  <w:tcW w:w="528" w:type="pct"/>
                  <w:vAlign w:val="center"/>
                </w:tcPr>
                <w:p w14:paraId="7F9A73C0">
                  <w:pPr>
                    <w:widowControl/>
                    <w:jc w:val="center"/>
                    <w:rPr>
                      <w:szCs w:val="21"/>
                    </w:rPr>
                  </w:pPr>
                  <w:r>
                    <w:rPr>
                      <w:szCs w:val="21"/>
                    </w:rPr>
                    <w:t>3.494</w:t>
                  </w:r>
                </w:p>
              </w:tc>
              <w:tc>
                <w:tcPr>
                  <w:tcW w:w="615" w:type="pct"/>
                  <w:vAlign w:val="center"/>
                </w:tcPr>
                <w:p w14:paraId="63579412">
                  <w:pPr>
                    <w:widowControl/>
                    <w:jc w:val="center"/>
                    <w:rPr>
                      <w:szCs w:val="21"/>
                    </w:rPr>
                  </w:pPr>
                  <w:r>
                    <w:rPr>
                      <w:szCs w:val="21"/>
                    </w:rPr>
                    <w:t>2.176</w:t>
                  </w:r>
                </w:p>
              </w:tc>
              <w:tc>
                <w:tcPr>
                  <w:tcW w:w="439" w:type="pct"/>
                  <w:vAlign w:val="center"/>
                </w:tcPr>
                <w:p w14:paraId="31D8522D">
                  <w:pPr>
                    <w:widowControl/>
                    <w:jc w:val="center"/>
                    <w:rPr>
                      <w:szCs w:val="21"/>
                    </w:rPr>
                  </w:pPr>
                  <w:r>
                    <w:rPr>
                      <w:szCs w:val="21"/>
                    </w:rPr>
                    <w:t>2.934</w:t>
                  </w:r>
                </w:p>
              </w:tc>
              <w:tc>
                <w:tcPr>
                  <w:tcW w:w="616" w:type="pct"/>
                  <w:vAlign w:val="center"/>
                </w:tcPr>
                <w:p w14:paraId="52D567CE">
                  <w:pPr>
                    <w:widowControl/>
                    <w:jc w:val="center"/>
                    <w:rPr>
                      <w:szCs w:val="21"/>
                    </w:rPr>
                  </w:pPr>
                  <w:r>
                    <w:rPr>
                      <w:szCs w:val="21"/>
                    </w:rPr>
                    <w:t>0.56</w:t>
                  </w:r>
                </w:p>
              </w:tc>
              <w:tc>
                <w:tcPr>
                  <w:tcW w:w="834" w:type="pct"/>
                  <w:vAlign w:val="center"/>
                </w:tcPr>
                <w:p w14:paraId="5FFC3369">
                  <w:pPr>
                    <w:widowControl/>
                    <w:jc w:val="center"/>
                    <w:rPr>
                      <w:szCs w:val="21"/>
                    </w:rPr>
                  </w:pPr>
                  <w:r>
                    <w:rPr>
                      <w:szCs w:val="21"/>
                    </w:rPr>
                    <w:t>/</w:t>
                  </w:r>
                </w:p>
              </w:tc>
            </w:tr>
          </w:tbl>
          <w:p w14:paraId="4DF925BF">
            <w:pPr>
              <w:adjustRightInd w:val="0"/>
              <w:snapToGrid w:val="0"/>
              <w:spacing w:line="360" w:lineRule="auto"/>
              <w:jc w:val="center"/>
              <w:rPr>
                <w:bCs/>
                <w:sz w:val="24"/>
              </w:rPr>
            </w:pPr>
            <w:r>
              <w:rPr>
                <w:bCs/>
                <w:sz w:val="24"/>
              </w:rPr>
              <w:drawing>
                <wp:inline distT="0" distB="0" distL="0" distR="0">
                  <wp:extent cx="4968240" cy="3147060"/>
                  <wp:effectExtent l="0" t="0" r="3810" b="0"/>
                  <wp:docPr id="20635777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77718" name="图片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985082" cy="3157772"/>
                          </a:xfrm>
                          <a:prstGeom prst="rect">
                            <a:avLst/>
                          </a:prstGeom>
                        </pic:spPr>
                      </pic:pic>
                    </a:graphicData>
                  </a:graphic>
                </wp:inline>
              </w:drawing>
            </w:r>
          </w:p>
          <w:p w14:paraId="6A29E08F">
            <w:pPr>
              <w:adjustRightInd w:val="0"/>
              <w:snapToGrid w:val="0"/>
              <w:spacing w:line="360" w:lineRule="auto"/>
              <w:jc w:val="center"/>
              <w:rPr>
                <w:b/>
                <w:szCs w:val="21"/>
              </w:rPr>
            </w:pPr>
            <w:r>
              <w:rPr>
                <w:b/>
                <w:szCs w:val="21"/>
              </w:rPr>
              <w:t>图2-1 本项目水平衡图（</w:t>
            </w:r>
            <w:r>
              <w:rPr>
                <w:rFonts w:hint="eastAsia"/>
                <w:b/>
                <w:szCs w:val="21"/>
              </w:rPr>
              <w:t>非采暖季</w:t>
            </w:r>
            <w:r>
              <w:rPr>
                <w:b/>
                <w:szCs w:val="21"/>
              </w:rPr>
              <w:t>）</w:t>
            </w:r>
          </w:p>
          <w:p w14:paraId="6398B56C">
            <w:pPr>
              <w:adjustRightInd w:val="0"/>
              <w:snapToGrid w:val="0"/>
              <w:spacing w:line="360" w:lineRule="auto"/>
              <w:jc w:val="center"/>
              <w:rPr>
                <w:bCs/>
                <w:sz w:val="24"/>
              </w:rPr>
            </w:pPr>
            <w:r>
              <w:rPr>
                <w:bCs/>
                <w:sz w:val="24"/>
              </w:rPr>
              <w:drawing>
                <wp:inline distT="0" distB="0" distL="0" distR="0">
                  <wp:extent cx="4874260" cy="1786255"/>
                  <wp:effectExtent l="0" t="0" r="2540" b="4445"/>
                  <wp:docPr id="68447735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77350"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975229" cy="1823152"/>
                          </a:xfrm>
                          <a:prstGeom prst="rect">
                            <a:avLst/>
                          </a:prstGeom>
                        </pic:spPr>
                      </pic:pic>
                    </a:graphicData>
                  </a:graphic>
                </wp:inline>
              </w:drawing>
            </w:r>
          </w:p>
          <w:p w14:paraId="7474EA84">
            <w:pPr>
              <w:adjustRightInd w:val="0"/>
              <w:snapToGrid w:val="0"/>
              <w:spacing w:line="360" w:lineRule="auto"/>
              <w:jc w:val="center"/>
              <w:rPr>
                <w:b/>
                <w:szCs w:val="21"/>
              </w:rPr>
            </w:pPr>
            <w:r>
              <w:rPr>
                <w:b/>
                <w:szCs w:val="21"/>
              </w:rPr>
              <w:t>图2-2 本项目水平衡图（</w:t>
            </w:r>
            <w:r>
              <w:rPr>
                <w:rFonts w:hint="eastAsia"/>
                <w:b/>
                <w:szCs w:val="21"/>
              </w:rPr>
              <w:t>采暖季</w:t>
            </w:r>
            <w:r>
              <w:rPr>
                <w:b/>
                <w:szCs w:val="21"/>
              </w:rPr>
              <w:t>）</w:t>
            </w:r>
          </w:p>
          <w:p w14:paraId="4455B493">
            <w:pPr>
              <w:adjustRightInd w:val="0"/>
              <w:snapToGrid w:val="0"/>
              <w:spacing w:line="360" w:lineRule="auto"/>
              <w:jc w:val="left"/>
              <w:rPr>
                <w:b/>
                <w:bCs/>
                <w:sz w:val="24"/>
              </w:rPr>
            </w:pPr>
            <w:r>
              <w:rPr>
                <w:b/>
                <w:bCs/>
                <w:sz w:val="24"/>
              </w:rPr>
              <w:t>2.9 主要经济指标</w:t>
            </w:r>
          </w:p>
          <w:p w14:paraId="26FD5787">
            <w:pPr>
              <w:spacing w:line="360" w:lineRule="auto"/>
              <w:ind w:left="420" w:leftChars="200"/>
              <w:jc w:val="center"/>
              <w:rPr>
                <w:b/>
                <w:bCs/>
                <w:szCs w:val="21"/>
              </w:rPr>
            </w:pPr>
            <w:r>
              <w:rPr>
                <w:b/>
                <w:bCs/>
                <w:kern w:val="0"/>
                <w:szCs w:val="21"/>
                <w:lang w:bidi="ar"/>
              </w:rPr>
              <w:t>表2-7 本项目主要技术经济指标表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3"/>
              <w:gridCol w:w="2731"/>
              <w:gridCol w:w="1107"/>
              <w:gridCol w:w="3394"/>
            </w:tblGrid>
            <w:tr w14:paraId="444A5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1" w:type="pct"/>
                  <w:vAlign w:val="center"/>
                </w:tcPr>
                <w:p w14:paraId="60138DA3">
                  <w:pPr>
                    <w:snapToGrid w:val="0"/>
                    <w:jc w:val="center"/>
                    <w:rPr>
                      <w:szCs w:val="21"/>
                    </w:rPr>
                  </w:pPr>
                  <w:r>
                    <w:rPr>
                      <w:szCs w:val="21"/>
                    </w:rPr>
                    <w:t>序号</w:t>
                  </w:r>
                </w:p>
              </w:tc>
              <w:tc>
                <w:tcPr>
                  <w:tcW w:w="1695" w:type="pct"/>
                  <w:vAlign w:val="center"/>
                </w:tcPr>
                <w:p w14:paraId="692D9DE0">
                  <w:pPr>
                    <w:snapToGrid w:val="0"/>
                    <w:jc w:val="center"/>
                    <w:rPr>
                      <w:szCs w:val="21"/>
                    </w:rPr>
                  </w:pPr>
                  <w:r>
                    <w:rPr>
                      <w:szCs w:val="21"/>
                    </w:rPr>
                    <w:t>指标名称</w:t>
                  </w:r>
                </w:p>
              </w:tc>
              <w:tc>
                <w:tcPr>
                  <w:tcW w:w="687" w:type="pct"/>
                  <w:vAlign w:val="center"/>
                </w:tcPr>
                <w:p w14:paraId="160E774A">
                  <w:pPr>
                    <w:snapToGrid w:val="0"/>
                    <w:jc w:val="center"/>
                    <w:rPr>
                      <w:szCs w:val="21"/>
                    </w:rPr>
                  </w:pPr>
                  <w:r>
                    <w:rPr>
                      <w:szCs w:val="21"/>
                    </w:rPr>
                    <w:t>单位</w:t>
                  </w:r>
                </w:p>
              </w:tc>
              <w:tc>
                <w:tcPr>
                  <w:tcW w:w="2107" w:type="pct"/>
                  <w:vAlign w:val="center"/>
                </w:tcPr>
                <w:p w14:paraId="44030E5A">
                  <w:pPr>
                    <w:snapToGrid w:val="0"/>
                    <w:jc w:val="center"/>
                    <w:rPr>
                      <w:szCs w:val="21"/>
                    </w:rPr>
                  </w:pPr>
                  <w:r>
                    <w:rPr>
                      <w:szCs w:val="21"/>
                    </w:rPr>
                    <w:t>数量</w:t>
                  </w:r>
                </w:p>
              </w:tc>
            </w:tr>
            <w:tr w14:paraId="0EFF6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1" w:type="pct"/>
                  <w:vAlign w:val="center"/>
                </w:tcPr>
                <w:p w14:paraId="73CE50FC">
                  <w:pPr>
                    <w:snapToGrid w:val="0"/>
                    <w:jc w:val="center"/>
                    <w:rPr>
                      <w:szCs w:val="21"/>
                    </w:rPr>
                  </w:pPr>
                  <w:r>
                    <w:rPr>
                      <w:szCs w:val="21"/>
                    </w:rPr>
                    <w:t>1</w:t>
                  </w:r>
                </w:p>
              </w:tc>
              <w:tc>
                <w:tcPr>
                  <w:tcW w:w="1695" w:type="pct"/>
                  <w:vAlign w:val="center"/>
                </w:tcPr>
                <w:p w14:paraId="4D05CEBA">
                  <w:pPr>
                    <w:snapToGrid w:val="0"/>
                    <w:jc w:val="center"/>
                    <w:rPr>
                      <w:szCs w:val="21"/>
                    </w:rPr>
                  </w:pPr>
                  <w:r>
                    <w:rPr>
                      <w:szCs w:val="21"/>
                    </w:rPr>
                    <w:t>总占地面积</w:t>
                  </w:r>
                </w:p>
              </w:tc>
              <w:tc>
                <w:tcPr>
                  <w:tcW w:w="687" w:type="pct"/>
                  <w:vAlign w:val="center"/>
                </w:tcPr>
                <w:p w14:paraId="72D8A715">
                  <w:pPr>
                    <w:snapToGrid w:val="0"/>
                    <w:jc w:val="center"/>
                    <w:rPr>
                      <w:szCs w:val="21"/>
                    </w:rPr>
                  </w:pPr>
                  <w:r>
                    <w:rPr>
                      <w:szCs w:val="21"/>
                    </w:rPr>
                    <w:t>m</w:t>
                  </w:r>
                  <w:r>
                    <w:rPr>
                      <w:szCs w:val="21"/>
                      <w:vertAlign w:val="superscript"/>
                    </w:rPr>
                    <w:t>2</w:t>
                  </w:r>
                </w:p>
              </w:tc>
              <w:tc>
                <w:tcPr>
                  <w:tcW w:w="2107" w:type="pct"/>
                  <w:vAlign w:val="center"/>
                </w:tcPr>
                <w:p w14:paraId="7C8ED7F2">
                  <w:pPr>
                    <w:snapToGrid w:val="0"/>
                    <w:jc w:val="center"/>
                    <w:rPr>
                      <w:szCs w:val="21"/>
                    </w:rPr>
                  </w:pPr>
                  <w:r>
                    <w:rPr>
                      <w:rFonts w:hint="eastAsia"/>
                      <w:szCs w:val="21"/>
                    </w:rPr>
                    <w:t>22618</w:t>
                  </w:r>
                </w:p>
              </w:tc>
            </w:tr>
            <w:tr w14:paraId="3AC8F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1" w:type="pct"/>
                  <w:vAlign w:val="center"/>
                </w:tcPr>
                <w:p w14:paraId="7635D08A">
                  <w:pPr>
                    <w:snapToGrid w:val="0"/>
                    <w:jc w:val="center"/>
                    <w:rPr>
                      <w:szCs w:val="21"/>
                    </w:rPr>
                  </w:pPr>
                  <w:r>
                    <w:rPr>
                      <w:szCs w:val="21"/>
                    </w:rPr>
                    <w:t>2</w:t>
                  </w:r>
                </w:p>
              </w:tc>
              <w:tc>
                <w:tcPr>
                  <w:tcW w:w="1695" w:type="pct"/>
                  <w:vAlign w:val="center"/>
                </w:tcPr>
                <w:p w14:paraId="098E2EAE">
                  <w:pPr>
                    <w:snapToGrid w:val="0"/>
                    <w:jc w:val="center"/>
                    <w:rPr>
                      <w:szCs w:val="21"/>
                    </w:rPr>
                  </w:pPr>
                  <w:r>
                    <w:rPr>
                      <w:szCs w:val="21"/>
                    </w:rPr>
                    <w:t>总投资</w:t>
                  </w:r>
                </w:p>
              </w:tc>
              <w:tc>
                <w:tcPr>
                  <w:tcW w:w="687" w:type="pct"/>
                  <w:vAlign w:val="center"/>
                </w:tcPr>
                <w:p w14:paraId="2EA17618">
                  <w:pPr>
                    <w:snapToGrid w:val="0"/>
                    <w:jc w:val="center"/>
                    <w:rPr>
                      <w:szCs w:val="21"/>
                    </w:rPr>
                  </w:pPr>
                  <w:r>
                    <w:rPr>
                      <w:szCs w:val="21"/>
                    </w:rPr>
                    <w:t>万元</w:t>
                  </w:r>
                </w:p>
              </w:tc>
              <w:tc>
                <w:tcPr>
                  <w:tcW w:w="2107" w:type="pct"/>
                  <w:vAlign w:val="center"/>
                </w:tcPr>
                <w:p w14:paraId="033C48FE">
                  <w:pPr>
                    <w:snapToGrid w:val="0"/>
                    <w:jc w:val="center"/>
                    <w:rPr>
                      <w:szCs w:val="21"/>
                    </w:rPr>
                  </w:pPr>
                  <w:r>
                    <w:rPr>
                      <w:rFonts w:hint="eastAsia"/>
                      <w:szCs w:val="21"/>
                    </w:rPr>
                    <w:t>303</w:t>
                  </w:r>
                </w:p>
              </w:tc>
            </w:tr>
            <w:tr w14:paraId="31CA7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1" w:type="pct"/>
                  <w:vAlign w:val="center"/>
                </w:tcPr>
                <w:p w14:paraId="4B929932">
                  <w:pPr>
                    <w:snapToGrid w:val="0"/>
                    <w:jc w:val="center"/>
                    <w:rPr>
                      <w:szCs w:val="21"/>
                    </w:rPr>
                  </w:pPr>
                  <w:r>
                    <w:rPr>
                      <w:szCs w:val="21"/>
                    </w:rPr>
                    <w:t>3</w:t>
                  </w:r>
                </w:p>
              </w:tc>
              <w:tc>
                <w:tcPr>
                  <w:tcW w:w="1695" w:type="pct"/>
                  <w:vAlign w:val="center"/>
                </w:tcPr>
                <w:p w14:paraId="520BF8EA">
                  <w:pPr>
                    <w:snapToGrid w:val="0"/>
                    <w:jc w:val="center"/>
                    <w:rPr>
                      <w:szCs w:val="21"/>
                    </w:rPr>
                  </w:pPr>
                  <w:r>
                    <w:rPr>
                      <w:szCs w:val="21"/>
                    </w:rPr>
                    <w:t>环保投资</w:t>
                  </w:r>
                </w:p>
              </w:tc>
              <w:tc>
                <w:tcPr>
                  <w:tcW w:w="687" w:type="pct"/>
                  <w:vAlign w:val="center"/>
                </w:tcPr>
                <w:p w14:paraId="30591C79">
                  <w:pPr>
                    <w:snapToGrid w:val="0"/>
                    <w:jc w:val="center"/>
                    <w:rPr>
                      <w:szCs w:val="21"/>
                    </w:rPr>
                  </w:pPr>
                  <w:r>
                    <w:rPr>
                      <w:szCs w:val="21"/>
                    </w:rPr>
                    <w:t>万元</w:t>
                  </w:r>
                </w:p>
              </w:tc>
              <w:tc>
                <w:tcPr>
                  <w:tcW w:w="2107" w:type="pct"/>
                  <w:vAlign w:val="center"/>
                </w:tcPr>
                <w:p w14:paraId="65A62446">
                  <w:pPr>
                    <w:snapToGrid w:val="0"/>
                    <w:jc w:val="center"/>
                    <w:rPr>
                      <w:szCs w:val="21"/>
                    </w:rPr>
                  </w:pPr>
                  <w:r>
                    <w:rPr>
                      <w:rFonts w:hint="eastAsia"/>
                      <w:szCs w:val="21"/>
                    </w:rPr>
                    <w:t>47.8</w:t>
                  </w:r>
                </w:p>
              </w:tc>
            </w:tr>
            <w:tr w14:paraId="3D8F6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1" w:type="pct"/>
                  <w:vAlign w:val="center"/>
                </w:tcPr>
                <w:p w14:paraId="3EF1F72F">
                  <w:pPr>
                    <w:snapToGrid w:val="0"/>
                    <w:jc w:val="center"/>
                    <w:rPr>
                      <w:szCs w:val="21"/>
                    </w:rPr>
                  </w:pPr>
                  <w:r>
                    <w:rPr>
                      <w:szCs w:val="21"/>
                    </w:rPr>
                    <w:t>4</w:t>
                  </w:r>
                </w:p>
              </w:tc>
              <w:tc>
                <w:tcPr>
                  <w:tcW w:w="1695" w:type="pct"/>
                  <w:vAlign w:val="center"/>
                </w:tcPr>
                <w:p w14:paraId="63A4A90D">
                  <w:pPr>
                    <w:snapToGrid w:val="0"/>
                    <w:jc w:val="center"/>
                    <w:rPr>
                      <w:szCs w:val="21"/>
                    </w:rPr>
                  </w:pPr>
                  <w:r>
                    <w:rPr>
                      <w:szCs w:val="21"/>
                    </w:rPr>
                    <w:t>环保投资占总投资比例</w:t>
                  </w:r>
                </w:p>
              </w:tc>
              <w:tc>
                <w:tcPr>
                  <w:tcW w:w="687" w:type="pct"/>
                  <w:vAlign w:val="center"/>
                </w:tcPr>
                <w:p w14:paraId="3EF655E7">
                  <w:pPr>
                    <w:snapToGrid w:val="0"/>
                    <w:jc w:val="center"/>
                    <w:rPr>
                      <w:szCs w:val="21"/>
                    </w:rPr>
                  </w:pPr>
                  <w:r>
                    <w:rPr>
                      <w:szCs w:val="21"/>
                    </w:rPr>
                    <w:t>%</w:t>
                  </w:r>
                </w:p>
              </w:tc>
              <w:tc>
                <w:tcPr>
                  <w:tcW w:w="2107" w:type="pct"/>
                  <w:vAlign w:val="center"/>
                </w:tcPr>
                <w:p w14:paraId="0B4A5444">
                  <w:pPr>
                    <w:snapToGrid w:val="0"/>
                    <w:jc w:val="center"/>
                    <w:rPr>
                      <w:szCs w:val="21"/>
                    </w:rPr>
                  </w:pPr>
                  <w:r>
                    <w:rPr>
                      <w:rFonts w:hint="eastAsia"/>
                      <w:szCs w:val="21"/>
                    </w:rPr>
                    <w:t>15.8</w:t>
                  </w:r>
                </w:p>
              </w:tc>
            </w:tr>
            <w:tr w14:paraId="0A204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1" w:type="pct"/>
                  <w:vAlign w:val="center"/>
                </w:tcPr>
                <w:p w14:paraId="40F8A5C1">
                  <w:pPr>
                    <w:snapToGrid w:val="0"/>
                    <w:jc w:val="center"/>
                    <w:rPr>
                      <w:szCs w:val="21"/>
                    </w:rPr>
                  </w:pPr>
                  <w:r>
                    <w:rPr>
                      <w:szCs w:val="21"/>
                    </w:rPr>
                    <w:t>5</w:t>
                  </w:r>
                </w:p>
              </w:tc>
              <w:tc>
                <w:tcPr>
                  <w:tcW w:w="1695" w:type="pct"/>
                  <w:vAlign w:val="center"/>
                </w:tcPr>
                <w:p w14:paraId="1DFBBB3A">
                  <w:pPr>
                    <w:snapToGrid w:val="0"/>
                    <w:jc w:val="center"/>
                    <w:rPr>
                      <w:szCs w:val="21"/>
                    </w:rPr>
                  </w:pPr>
                  <w:r>
                    <w:rPr>
                      <w:szCs w:val="21"/>
                    </w:rPr>
                    <w:t>职工定员</w:t>
                  </w:r>
                </w:p>
              </w:tc>
              <w:tc>
                <w:tcPr>
                  <w:tcW w:w="687" w:type="pct"/>
                  <w:vAlign w:val="center"/>
                </w:tcPr>
                <w:p w14:paraId="5D4A58F0">
                  <w:pPr>
                    <w:snapToGrid w:val="0"/>
                    <w:jc w:val="center"/>
                    <w:rPr>
                      <w:szCs w:val="21"/>
                    </w:rPr>
                  </w:pPr>
                  <w:r>
                    <w:rPr>
                      <w:szCs w:val="21"/>
                    </w:rPr>
                    <w:t>人</w:t>
                  </w:r>
                </w:p>
              </w:tc>
              <w:tc>
                <w:tcPr>
                  <w:tcW w:w="2107" w:type="pct"/>
                  <w:vAlign w:val="center"/>
                </w:tcPr>
                <w:p w14:paraId="0842EA39">
                  <w:pPr>
                    <w:snapToGrid w:val="0"/>
                    <w:jc w:val="center"/>
                    <w:rPr>
                      <w:szCs w:val="21"/>
                    </w:rPr>
                  </w:pPr>
                  <w:r>
                    <w:rPr>
                      <w:szCs w:val="21"/>
                    </w:rPr>
                    <w:t>10</w:t>
                  </w:r>
                </w:p>
              </w:tc>
            </w:tr>
            <w:tr w14:paraId="3F39D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1" w:type="pct"/>
                  <w:vAlign w:val="center"/>
                </w:tcPr>
                <w:p w14:paraId="13C0CBF0">
                  <w:pPr>
                    <w:snapToGrid w:val="0"/>
                    <w:jc w:val="center"/>
                    <w:rPr>
                      <w:szCs w:val="21"/>
                    </w:rPr>
                  </w:pPr>
                  <w:r>
                    <w:rPr>
                      <w:szCs w:val="21"/>
                    </w:rPr>
                    <w:t>6</w:t>
                  </w:r>
                </w:p>
              </w:tc>
              <w:tc>
                <w:tcPr>
                  <w:tcW w:w="1695" w:type="pct"/>
                  <w:vMerge w:val="restart"/>
                  <w:vAlign w:val="center"/>
                </w:tcPr>
                <w:p w14:paraId="665C6A8F">
                  <w:pPr>
                    <w:snapToGrid w:val="0"/>
                    <w:jc w:val="center"/>
                    <w:rPr>
                      <w:szCs w:val="21"/>
                    </w:rPr>
                  </w:pPr>
                  <w:r>
                    <w:rPr>
                      <w:rFonts w:hint="eastAsia"/>
                      <w:szCs w:val="21"/>
                    </w:rPr>
                    <w:t>工作制度</w:t>
                  </w:r>
                </w:p>
              </w:tc>
              <w:tc>
                <w:tcPr>
                  <w:tcW w:w="687" w:type="pct"/>
                  <w:vAlign w:val="center"/>
                </w:tcPr>
                <w:p w14:paraId="0270EEE2">
                  <w:pPr>
                    <w:snapToGrid w:val="0"/>
                    <w:jc w:val="center"/>
                    <w:rPr>
                      <w:szCs w:val="21"/>
                    </w:rPr>
                  </w:pPr>
                  <w:r>
                    <w:rPr>
                      <w:rFonts w:hint="eastAsia"/>
                      <w:szCs w:val="21"/>
                    </w:rPr>
                    <w:t>d/a</w:t>
                  </w:r>
                </w:p>
              </w:tc>
              <w:tc>
                <w:tcPr>
                  <w:tcW w:w="2107" w:type="pct"/>
                  <w:vAlign w:val="center"/>
                </w:tcPr>
                <w:p w14:paraId="4188FC0A">
                  <w:pPr>
                    <w:snapToGrid w:val="0"/>
                    <w:jc w:val="center"/>
                    <w:rPr>
                      <w:szCs w:val="21"/>
                    </w:rPr>
                  </w:pPr>
                  <w:r>
                    <w:rPr>
                      <w:szCs w:val="21"/>
                    </w:rPr>
                    <w:t>300</w:t>
                  </w:r>
                </w:p>
              </w:tc>
            </w:tr>
            <w:tr w14:paraId="30A7B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1" w:type="pct"/>
                  <w:vAlign w:val="center"/>
                </w:tcPr>
                <w:p w14:paraId="2A1427EB">
                  <w:pPr>
                    <w:snapToGrid w:val="0"/>
                    <w:jc w:val="center"/>
                    <w:rPr>
                      <w:szCs w:val="21"/>
                    </w:rPr>
                  </w:pPr>
                  <w:r>
                    <w:rPr>
                      <w:szCs w:val="21"/>
                    </w:rPr>
                    <w:t>7</w:t>
                  </w:r>
                </w:p>
              </w:tc>
              <w:tc>
                <w:tcPr>
                  <w:tcW w:w="1695" w:type="pct"/>
                  <w:vMerge w:val="continue"/>
                  <w:vAlign w:val="center"/>
                </w:tcPr>
                <w:p w14:paraId="624C3A8F">
                  <w:pPr>
                    <w:snapToGrid w:val="0"/>
                    <w:jc w:val="center"/>
                    <w:rPr>
                      <w:szCs w:val="21"/>
                    </w:rPr>
                  </w:pPr>
                </w:p>
              </w:tc>
              <w:tc>
                <w:tcPr>
                  <w:tcW w:w="687" w:type="pct"/>
                  <w:vAlign w:val="center"/>
                </w:tcPr>
                <w:p w14:paraId="216F7823">
                  <w:pPr>
                    <w:snapToGrid w:val="0"/>
                    <w:jc w:val="center"/>
                    <w:rPr>
                      <w:szCs w:val="21"/>
                    </w:rPr>
                  </w:pPr>
                  <w:r>
                    <w:rPr>
                      <w:rFonts w:hint="eastAsia"/>
                      <w:szCs w:val="21"/>
                    </w:rPr>
                    <w:t>h</w:t>
                  </w:r>
                  <w:r>
                    <w:rPr>
                      <w:szCs w:val="21"/>
                    </w:rPr>
                    <w:t>/</w:t>
                  </w:r>
                  <w:r>
                    <w:rPr>
                      <w:rFonts w:hint="eastAsia"/>
                      <w:szCs w:val="21"/>
                    </w:rPr>
                    <w:t>d</w:t>
                  </w:r>
                </w:p>
              </w:tc>
              <w:tc>
                <w:tcPr>
                  <w:tcW w:w="2107" w:type="pct"/>
                  <w:vAlign w:val="center"/>
                </w:tcPr>
                <w:p w14:paraId="4C6097AD">
                  <w:pPr>
                    <w:snapToGrid w:val="0"/>
                    <w:jc w:val="center"/>
                    <w:rPr>
                      <w:szCs w:val="21"/>
                    </w:rPr>
                  </w:pPr>
                  <w:r>
                    <w:rPr>
                      <w:rFonts w:hint="eastAsia"/>
                      <w:szCs w:val="21"/>
                    </w:rPr>
                    <w:t>8</w:t>
                  </w:r>
                </w:p>
              </w:tc>
            </w:tr>
          </w:tbl>
          <w:p w14:paraId="2CB8AEAB">
            <w:pPr>
              <w:adjustRightInd w:val="0"/>
              <w:snapToGrid w:val="0"/>
              <w:rPr>
                <w:rFonts w:hint="eastAsia" w:ascii="宋体" w:hAnsi="宋体" w:cs="宋体"/>
                <w:bCs/>
                <w:szCs w:val="21"/>
              </w:rPr>
            </w:pPr>
          </w:p>
          <w:p w14:paraId="7276461E">
            <w:pPr>
              <w:adjustRightInd w:val="0"/>
              <w:snapToGrid w:val="0"/>
              <w:rPr>
                <w:rFonts w:hint="eastAsia" w:ascii="宋体" w:hAnsi="宋体" w:cs="宋体"/>
                <w:bCs/>
                <w:szCs w:val="21"/>
              </w:rPr>
            </w:pPr>
          </w:p>
        </w:tc>
      </w:tr>
      <w:tr w14:paraId="0546A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3" w:hRule="atLeast"/>
          <w:jc w:val="center"/>
        </w:trPr>
        <w:tc>
          <w:tcPr>
            <w:tcW w:w="523" w:type="dxa"/>
            <w:vAlign w:val="center"/>
          </w:tcPr>
          <w:p w14:paraId="739472FB">
            <w:pPr>
              <w:pStyle w:val="34"/>
              <w:adjustRightInd w:val="0"/>
              <w:snapToGrid w:val="0"/>
              <w:spacing w:before="0" w:beforeAutospacing="0" w:after="0" w:afterAutospacing="0"/>
              <w:jc w:val="center"/>
              <w:rPr>
                <w:rFonts w:hint="eastAsia" w:cs="宋体"/>
                <w:sz w:val="21"/>
                <w:szCs w:val="21"/>
              </w:rPr>
            </w:pPr>
            <w:r>
              <w:rPr>
                <w:rFonts w:hint="eastAsia" w:cs="宋体"/>
                <w:sz w:val="21"/>
                <w:szCs w:val="21"/>
              </w:rPr>
              <w:t>工艺流程和产排污环节</w:t>
            </w:r>
          </w:p>
        </w:tc>
        <w:tc>
          <w:tcPr>
            <w:tcW w:w="8301" w:type="dxa"/>
          </w:tcPr>
          <w:p w14:paraId="62F674B5">
            <w:pPr>
              <w:adjustRightInd w:val="0"/>
              <w:snapToGrid w:val="0"/>
              <w:spacing w:line="360" w:lineRule="auto"/>
              <w:rPr>
                <w:b/>
                <w:color w:val="000000"/>
                <w:sz w:val="24"/>
              </w:rPr>
            </w:pPr>
            <w:r>
              <w:rPr>
                <w:b/>
                <w:color w:val="000000"/>
                <w:sz w:val="24"/>
              </w:rPr>
              <w:t>2</w:t>
            </w:r>
            <w:r>
              <w:rPr>
                <w:rFonts w:hint="eastAsia"/>
                <w:b/>
                <w:color w:val="000000"/>
                <w:sz w:val="24"/>
              </w:rPr>
              <w:t>.</w:t>
            </w:r>
            <w:r>
              <w:rPr>
                <w:b/>
                <w:color w:val="000000"/>
                <w:sz w:val="24"/>
              </w:rPr>
              <w:t>1</w:t>
            </w:r>
            <w:r>
              <w:rPr>
                <w:rFonts w:hint="eastAsia"/>
                <w:b/>
                <w:color w:val="000000"/>
                <w:sz w:val="24"/>
              </w:rPr>
              <w:t>0 工艺流程和产排污环节</w:t>
            </w:r>
          </w:p>
          <w:p w14:paraId="23E81C3F">
            <w:pPr>
              <w:spacing w:line="360" w:lineRule="auto"/>
              <w:rPr>
                <w:b/>
                <w:bCs/>
                <w:sz w:val="24"/>
              </w:rPr>
            </w:pPr>
            <w:r>
              <w:rPr>
                <w:rFonts w:hint="eastAsia"/>
                <w:b/>
                <w:bCs/>
                <w:sz w:val="24"/>
              </w:rPr>
              <w:t>2.10.1</w:t>
            </w:r>
            <w:r>
              <w:rPr>
                <w:b/>
                <w:bCs/>
                <w:sz w:val="24"/>
              </w:rPr>
              <w:t>工艺流程简述</w:t>
            </w:r>
          </w:p>
          <w:p w14:paraId="1A906439">
            <w:pPr>
              <w:spacing w:line="360" w:lineRule="auto"/>
              <w:ind w:firstLine="480" w:firstLineChars="200"/>
              <w:rPr>
                <w:rFonts w:hint="eastAsia" w:hAnsi="宋体"/>
                <w:bCs/>
                <w:color w:val="000000"/>
                <w:sz w:val="24"/>
              </w:rPr>
            </w:pPr>
            <w:r>
              <w:rPr>
                <w:rFonts w:hint="eastAsia" w:hAnsi="宋体"/>
                <w:bCs/>
                <w:color w:val="000000"/>
                <w:sz w:val="24"/>
              </w:rPr>
              <w:t>原辅料储存：本项目生产所需要的原料</w:t>
            </w:r>
            <w:r>
              <w:rPr>
                <w:rFonts w:hint="eastAsia" w:hAnsi="宋体"/>
                <w:bCs/>
                <w:sz w:val="24"/>
              </w:rPr>
              <w:t>有砂子、</w:t>
            </w:r>
            <w:r>
              <w:rPr>
                <w:rFonts w:hint="eastAsia" w:hAnsi="宋体"/>
                <w:bCs/>
                <w:color w:val="000000"/>
                <w:sz w:val="24"/>
              </w:rPr>
              <w:t>水泥、粉煤灰、外加剂。其中水泥、粉煤灰等粉状原料采用专用的罐装车运输到厂区后，由其自带的气力输送泵输送至相应原料筒仓内储存；外加剂为固体袋装，由运输车辆运至厂区的外加剂库房储存；砂子经汽车运输至厂区</w:t>
            </w:r>
            <w:r>
              <w:rPr>
                <w:rFonts w:hint="eastAsia" w:hAnsi="宋体"/>
                <w:bCs/>
                <w:sz w:val="24"/>
              </w:rPr>
              <w:t>砂库存放。</w:t>
            </w:r>
          </w:p>
          <w:p w14:paraId="30618F30">
            <w:pPr>
              <w:spacing w:line="360" w:lineRule="auto"/>
              <w:ind w:firstLine="480" w:firstLineChars="200"/>
              <w:rPr>
                <w:rFonts w:hint="eastAsia" w:hAnsi="宋体"/>
                <w:bCs/>
                <w:sz w:val="24"/>
              </w:rPr>
            </w:pPr>
            <w:r>
              <w:rPr>
                <w:rFonts w:hint="eastAsia" w:hAnsi="宋体"/>
                <w:bCs/>
                <w:sz w:val="24"/>
              </w:rPr>
              <w:t>干粉搅拌工序加料：原料库内的砂子由全封闭皮带和提升机输送至砂暂存仓，砂暂存仓内的砂料经精确计量后进入搅拌机。水泥、粉煤灰通过密闭管道输送至搅拌机上部的粉料计量仓，精确计量后进入搅拌机。外加剂带包装经提升机提升至搅拌站上的外加剂给料机旁，由人工拆包后将粉料装入上料斗，经精确计量后进入搅拌机。</w:t>
            </w:r>
          </w:p>
          <w:p w14:paraId="29BEEBEC">
            <w:pPr>
              <w:spacing w:line="360" w:lineRule="auto"/>
              <w:ind w:firstLine="480" w:firstLineChars="200"/>
              <w:rPr>
                <w:rFonts w:hint="eastAsia" w:hAnsi="宋体"/>
                <w:bCs/>
                <w:sz w:val="24"/>
              </w:rPr>
            </w:pPr>
            <w:r>
              <w:rPr>
                <w:rFonts w:hint="eastAsia" w:hAnsi="宋体"/>
                <w:bCs/>
                <w:sz w:val="24"/>
              </w:rPr>
              <w:t>搅拌：各种原料经计量之后进入搅拌机进行强制搅拌。</w:t>
            </w:r>
          </w:p>
          <w:p w14:paraId="1C6D7B27">
            <w:pPr>
              <w:spacing w:line="360" w:lineRule="auto"/>
              <w:ind w:firstLine="480" w:firstLineChars="200"/>
              <w:rPr>
                <w:rFonts w:hint="eastAsia" w:hAnsi="宋体"/>
                <w:bCs/>
                <w:sz w:val="24"/>
              </w:rPr>
            </w:pPr>
            <w:r>
              <w:rPr>
                <w:rFonts w:hint="eastAsia" w:hAnsi="宋体"/>
                <w:bCs/>
                <w:sz w:val="24"/>
              </w:rPr>
              <w:t>干粉砂浆成品包装、输送：经搅拌机制成的成品砂浆部分经主楼散装口装车外运，部分进入包装物料存储仓。进入包装物料存储仓的干粉砂浆，部分经提升机提升至成品仓储存，部分包装后储存。</w:t>
            </w:r>
          </w:p>
          <w:p w14:paraId="2F1A4669">
            <w:pPr>
              <w:adjustRightInd w:val="0"/>
              <w:snapToGrid w:val="0"/>
              <w:spacing w:line="360" w:lineRule="auto"/>
              <w:rPr>
                <w:rFonts w:hint="eastAsia" w:hAnsi="宋体"/>
                <w:b/>
                <w:sz w:val="24"/>
              </w:rPr>
            </w:pPr>
            <w:r>
              <w:rPr>
                <w:rFonts w:hint="eastAsia" w:hAnsi="宋体"/>
                <w:b/>
                <w:sz w:val="24"/>
              </w:rPr>
              <w:t>2.10.2产污环节分析</w:t>
            </w:r>
          </w:p>
          <w:p w14:paraId="1E0BE950">
            <w:pPr>
              <w:adjustRightInd w:val="0"/>
              <w:snapToGrid w:val="0"/>
              <w:spacing w:line="360" w:lineRule="auto"/>
              <w:ind w:firstLine="480" w:firstLineChars="200"/>
              <w:rPr>
                <w:rFonts w:hint="eastAsia" w:hAnsi="宋体"/>
                <w:bCs/>
                <w:sz w:val="24"/>
              </w:rPr>
            </w:pPr>
            <w:r>
              <w:rPr>
                <w:rFonts w:hint="eastAsia" w:hAnsi="宋体"/>
                <w:bCs/>
                <w:sz w:val="24"/>
              </w:rPr>
              <w:t>（1）废气</w:t>
            </w:r>
          </w:p>
          <w:p w14:paraId="4A025A4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砂子堆放在原料库内，物料散装堆放，物料装卸、存放过程中会产生含尘废</w:t>
            </w:r>
            <w:r>
              <w:rPr>
                <w:sz w:val="24"/>
              </w:rPr>
              <w:t>气G1</w:t>
            </w:r>
            <w:r>
              <w:rPr>
                <w:rFonts w:hint="eastAsia" w:ascii="宋体" w:hAnsi="宋体" w:cs="宋体"/>
                <w:sz w:val="24"/>
              </w:rPr>
              <w:t>。</w:t>
            </w:r>
          </w:p>
          <w:p w14:paraId="574D78A8">
            <w:pPr>
              <w:adjustRightInd w:val="0"/>
              <w:snapToGrid w:val="0"/>
              <w:spacing w:line="360" w:lineRule="auto"/>
              <w:ind w:firstLine="480" w:firstLineChars="200"/>
              <w:rPr>
                <w:sz w:val="24"/>
              </w:rPr>
            </w:pPr>
            <w:r>
              <w:rPr>
                <w:rFonts w:hint="eastAsia" w:ascii="宋体" w:hAnsi="宋体" w:cs="宋体"/>
                <w:sz w:val="24"/>
              </w:rPr>
              <w:t>砂库砂子转运至暂存仓时，进入受料斗会产生含尘</w:t>
            </w:r>
            <w:r>
              <w:rPr>
                <w:sz w:val="24"/>
              </w:rPr>
              <w:t>废气G2</w:t>
            </w:r>
            <w:r>
              <w:rPr>
                <w:rFonts w:hint="eastAsia"/>
                <w:sz w:val="24"/>
              </w:rPr>
              <w:t>。</w:t>
            </w:r>
          </w:p>
          <w:p w14:paraId="521AA756">
            <w:pPr>
              <w:adjustRightInd w:val="0"/>
              <w:snapToGrid w:val="0"/>
              <w:spacing w:line="360" w:lineRule="auto"/>
              <w:ind w:firstLine="480" w:firstLineChars="200"/>
              <w:rPr>
                <w:rFonts w:hint="eastAsia" w:hAnsi="宋体"/>
                <w:bCs/>
                <w:sz w:val="24"/>
              </w:rPr>
            </w:pPr>
            <w:r>
              <w:rPr>
                <w:rFonts w:hint="eastAsia" w:ascii="宋体" w:hAnsi="宋体" w:cs="宋体"/>
                <w:sz w:val="24"/>
              </w:rPr>
              <w:t>砂子、水泥、粉煤灰和外加剂各自通过计量后进入搅拌机进行搅拌，上料过程中会产生含尘废气</w:t>
            </w:r>
            <w:r>
              <w:rPr>
                <w:rFonts w:hint="eastAsia" w:hAnsi="宋体"/>
                <w:bCs/>
                <w:sz w:val="24"/>
              </w:rPr>
              <w:t>G3~G6。</w:t>
            </w:r>
          </w:p>
          <w:p w14:paraId="63927411">
            <w:pPr>
              <w:adjustRightInd w:val="0"/>
              <w:snapToGrid w:val="0"/>
              <w:spacing w:line="360" w:lineRule="auto"/>
              <w:ind w:firstLine="480" w:firstLineChars="200"/>
              <w:rPr>
                <w:rFonts w:hint="eastAsia" w:hAnsi="宋体"/>
                <w:bCs/>
                <w:sz w:val="24"/>
              </w:rPr>
            </w:pPr>
            <w:r>
              <w:rPr>
                <w:rFonts w:hint="eastAsia" w:hAnsi="宋体"/>
                <w:bCs/>
                <w:sz w:val="24"/>
              </w:rPr>
              <w:t>混合物料在搅拌主机内搅拌制浆过程中产生含尘废气G7。</w:t>
            </w:r>
          </w:p>
          <w:p w14:paraId="047BAA9D">
            <w:pPr>
              <w:adjustRightInd w:val="0"/>
              <w:snapToGrid w:val="0"/>
              <w:spacing w:line="360" w:lineRule="auto"/>
              <w:ind w:firstLine="480" w:firstLineChars="200"/>
              <w:rPr>
                <w:rFonts w:hint="eastAsia" w:hAnsi="宋体"/>
                <w:bCs/>
                <w:sz w:val="24"/>
              </w:rPr>
            </w:pPr>
            <w:r>
              <w:rPr>
                <w:rFonts w:hint="eastAsia" w:hAnsi="宋体"/>
                <w:bCs/>
                <w:sz w:val="24"/>
              </w:rPr>
              <w:t>成品干粉砂浆分别进入散装成品仓和包装物料存储仓。通过斗提机进入独立成品仓时产生含尘废气G8，通过成品仓散装装车外售时会产生含尘废气G9。</w:t>
            </w:r>
          </w:p>
          <w:p w14:paraId="174CF4DF">
            <w:pPr>
              <w:adjustRightInd w:val="0"/>
              <w:snapToGrid w:val="0"/>
              <w:spacing w:line="360" w:lineRule="auto"/>
              <w:ind w:firstLine="480" w:firstLineChars="200"/>
              <w:rPr>
                <w:rFonts w:hint="eastAsia" w:hAnsi="宋体"/>
                <w:bCs/>
                <w:sz w:val="24"/>
              </w:rPr>
            </w:pPr>
            <w:r>
              <w:rPr>
                <w:rFonts w:hint="eastAsia" w:hAnsi="宋体"/>
                <w:bCs/>
                <w:sz w:val="24"/>
              </w:rPr>
              <w:t>干粉砂浆包装过程会产生含尘废气G10，主楼成品仓散装装车过程会产生含尘废气G11。</w:t>
            </w:r>
          </w:p>
          <w:p w14:paraId="7E5ACC73">
            <w:pPr>
              <w:adjustRightInd w:val="0"/>
              <w:snapToGrid w:val="0"/>
              <w:spacing w:line="360" w:lineRule="auto"/>
              <w:ind w:firstLine="480" w:firstLineChars="200"/>
              <w:rPr>
                <w:rFonts w:hint="eastAsia" w:hAnsi="宋体"/>
                <w:bCs/>
                <w:sz w:val="24"/>
              </w:rPr>
            </w:pPr>
            <w:r>
              <w:rPr>
                <w:rFonts w:hint="eastAsia" w:hAnsi="宋体"/>
                <w:bCs/>
                <w:sz w:val="24"/>
              </w:rPr>
              <w:t>水泥、粉煤灰通过罐车运输至场内，转运至本项目粉仓的过程中，筒仓呼吸产生含尘废气G12和G13。</w:t>
            </w:r>
          </w:p>
          <w:p w14:paraId="7C6255E1">
            <w:pPr>
              <w:adjustRightInd w:val="0"/>
              <w:snapToGrid w:val="0"/>
              <w:spacing w:line="360" w:lineRule="auto"/>
              <w:ind w:firstLine="480" w:firstLineChars="200"/>
              <w:rPr>
                <w:rFonts w:hint="eastAsia" w:hAnsi="宋体"/>
                <w:bCs/>
                <w:sz w:val="24"/>
              </w:rPr>
            </w:pPr>
            <w:r>
              <w:rPr>
                <w:rFonts w:hint="eastAsia" w:hAnsi="宋体"/>
                <w:bCs/>
                <w:sz w:val="24"/>
              </w:rPr>
              <w:t>（2）废水</w:t>
            </w:r>
          </w:p>
          <w:p w14:paraId="63858D8D">
            <w:pPr>
              <w:adjustRightInd w:val="0"/>
              <w:snapToGrid w:val="0"/>
              <w:spacing w:line="360" w:lineRule="auto"/>
              <w:ind w:firstLine="480" w:firstLineChars="200"/>
              <w:rPr>
                <w:rFonts w:hint="eastAsia" w:hAnsi="宋体"/>
                <w:bCs/>
                <w:sz w:val="24"/>
              </w:rPr>
            </w:pPr>
            <w:r>
              <w:rPr>
                <w:rFonts w:hint="eastAsia" w:hAnsi="宋体"/>
                <w:bCs/>
                <w:sz w:val="24"/>
              </w:rPr>
              <w:t>本项目生产工艺过程中不使用水，项目运营过程中的用水环节包括洗车和办公生活。职工生活废水（W</w:t>
            </w:r>
            <w:r>
              <w:rPr>
                <w:rFonts w:hAnsi="宋体"/>
                <w:bCs/>
                <w:sz w:val="24"/>
              </w:rPr>
              <w:t>1</w:t>
            </w:r>
            <w:r>
              <w:rPr>
                <w:rFonts w:hint="eastAsia" w:hAnsi="宋体"/>
                <w:bCs/>
                <w:sz w:val="24"/>
              </w:rPr>
              <w:t>）排入化粪池，定期清掏。洗车产生的废水（W</w:t>
            </w:r>
            <w:r>
              <w:rPr>
                <w:rFonts w:hAnsi="宋体"/>
                <w:bCs/>
                <w:sz w:val="24"/>
              </w:rPr>
              <w:t>2</w:t>
            </w:r>
            <w:r>
              <w:rPr>
                <w:rFonts w:hint="eastAsia" w:hAnsi="宋体"/>
                <w:bCs/>
                <w:sz w:val="24"/>
              </w:rPr>
              <w:t>）进入洗车平台配套的沉淀池经三级沉淀处理后回用，不外排。</w:t>
            </w:r>
          </w:p>
          <w:p w14:paraId="15943AF5">
            <w:pPr>
              <w:adjustRightInd w:val="0"/>
              <w:snapToGrid w:val="0"/>
              <w:spacing w:line="360" w:lineRule="auto"/>
              <w:ind w:firstLine="480" w:firstLineChars="200"/>
              <w:rPr>
                <w:rFonts w:hint="eastAsia" w:hAnsi="宋体"/>
                <w:bCs/>
                <w:sz w:val="24"/>
              </w:rPr>
            </w:pPr>
            <w:r>
              <w:rPr>
                <w:rFonts w:hint="eastAsia" w:hAnsi="宋体"/>
                <w:bCs/>
                <w:sz w:val="24"/>
              </w:rPr>
              <w:t>（3）噪声</w:t>
            </w:r>
          </w:p>
          <w:p w14:paraId="72A68F95">
            <w:pPr>
              <w:adjustRightInd w:val="0"/>
              <w:snapToGrid w:val="0"/>
              <w:spacing w:line="360" w:lineRule="auto"/>
              <w:ind w:firstLine="480" w:firstLineChars="200"/>
              <w:rPr>
                <w:rFonts w:hint="eastAsia" w:hAnsi="宋体"/>
                <w:bCs/>
                <w:sz w:val="24"/>
              </w:rPr>
            </w:pPr>
            <w:r>
              <w:rPr>
                <w:rFonts w:hint="eastAsia" w:hAnsi="宋体"/>
                <w:bCs/>
                <w:sz w:val="24"/>
              </w:rPr>
              <w:t>本项目生产运营期间的噪声主要是高噪声设备运行产生的噪声，主要包括提升机、搅拌主机及大型除尘设备配套的风机。</w:t>
            </w:r>
          </w:p>
          <w:p w14:paraId="7ADF4B60">
            <w:pPr>
              <w:adjustRightInd w:val="0"/>
              <w:snapToGrid w:val="0"/>
              <w:spacing w:line="360" w:lineRule="auto"/>
              <w:ind w:firstLine="480" w:firstLineChars="200"/>
              <w:rPr>
                <w:rFonts w:hint="eastAsia" w:hAnsi="宋体"/>
                <w:bCs/>
                <w:sz w:val="24"/>
              </w:rPr>
            </w:pPr>
            <w:r>
              <w:rPr>
                <w:rFonts w:hint="eastAsia" w:hAnsi="宋体"/>
                <w:bCs/>
                <w:sz w:val="24"/>
              </w:rPr>
              <w:t>（4）固废</w:t>
            </w:r>
          </w:p>
          <w:p w14:paraId="635B92A4">
            <w:pPr>
              <w:adjustRightInd w:val="0"/>
              <w:snapToGrid w:val="0"/>
              <w:spacing w:line="360" w:lineRule="auto"/>
              <w:ind w:firstLine="480" w:firstLineChars="200"/>
              <w:rPr>
                <w:rFonts w:hint="eastAsia" w:hAnsi="宋体"/>
                <w:bCs/>
                <w:sz w:val="24"/>
              </w:rPr>
            </w:pPr>
            <w:r>
              <w:rPr>
                <w:rFonts w:hint="eastAsia" w:hAnsi="宋体"/>
                <w:bCs/>
                <w:sz w:val="24"/>
              </w:rPr>
              <w:t>固废分为一般工业固废、危险废物和生活垃圾。</w:t>
            </w:r>
          </w:p>
          <w:p w14:paraId="4B1585A7">
            <w:pPr>
              <w:adjustRightInd w:val="0"/>
              <w:snapToGrid w:val="0"/>
              <w:spacing w:line="360" w:lineRule="auto"/>
              <w:ind w:firstLine="480" w:firstLineChars="200"/>
              <w:rPr>
                <w:rFonts w:hint="eastAsia" w:hAnsi="宋体"/>
                <w:bCs/>
                <w:sz w:val="24"/>
              </w:rPr>
            </w:pPr>
            <w:r>
              <w:rPr>
                <w:rFonts w:hint="eastAsia" w:hAnsi="宋体"/>
                <w:bCs/>
                <w:sz w:val="24"/>
              </w:rPr>
              <w:t>一般固废包括各除尘设备收集的废除尘布袋、除尘灰、添加剂废包装袋和产品废包装袋（S1、S2）。废除尘布袋由厂家回收，料仓除尘灰全部返回生产系统回用，添加剂废包装袋和产品废包装袋暂存于库房定期清理。</w:t>
            </w:r>
          </w:p>
          <w:p w14:paraId="13B53CF9">
            <w:pPr>
              <w:adjustRightInd w:val="0"/>
              <w:snapToGrid w:val="0"/>
              <w:spacing w:line="360" w:lineRule="auto"/>
              <w:ind w:firstLine="480" w:firstLineChars="200"/>
              <w:rPr>
                <w:rFonts w:hint="eastAsia" w:hAnsi="宋体"/>
                <w:bCs/>
                <w:sz w:val="24"/>
              </w:rPr>
            </w:pPr>
            <w:r>
              <w:rPr>
                <w:rFonts w:hint="eastAsia" w:hAnsi="宋体"/>
                <w:bCs/>
                <w:sz w:val="24"/>
              </w:rPr>
              <w:t>职工生活会产生一定数量的生活垃圾（S3），厂区设置垃圾收集桶，生活垃圾经集中收集后定期交环卫部门处置。</w:t>
            </w:r>
          </w:p>
          <w:p w14:paraId="2AF0E61D">
            <w:pPr>
              <w:adjustRightInd w:val="0"/>
              <w:snapToGrid w:val="0"/>
              <w:spacing w:line="360" w:lineRule="auto"/>
              <w:ind w:firstLine="480" w:firstLineChars="200"/>
              <w:rPr>
                <w:rFonts w:hint="eastAsia" w:ascii="宋体" w:hAnsi="宋体" w:cs="宋体"/>
                <w:dstrike/>
                <w:color w:val="FF0000"/>
                <w:sz w:val="24"/>
              </w:rPr>
            </w:pPr>
            <w:r>
              <w:rPr>
                <w:rFonts w:hint="eastAsia" w:ascii="宋体" w:hAnsi="宋体" w:cs="宋体"/>
                <w:sz w:val="24"/>
              </w:rPr>
              <w:t>场内设备的维护和修理会产生废机油、废机油桶、废含油手套和棉纱等（</w:t>
            </w:r>
            <w:r>
              <w:rPr>
                <w:sz w:val="24"/>
              </w:rPr>
              <w:t>S4</w:t>
            </w:r>
            <w:r>
              <w:rPr>
                <w:rFonts w:hint="eastAsia" w:ascii="宋体" w:hAnsi="宋体" w:cs="宋体"/>
                <w:sz w:val="24"/>
              </w:rPr>
              <w:t>），暂存于危废贮存库，</w:t>
            </w:r>
            <w:r>
              <w:rPr>
                <w:rFonts w:hint="eastAsia"/>
                <w:sz w:val="24"/>
              </w:rPr>
              <w:t>定期交有资质的单位处置。</w:t>
            </w:r>
          </w:p>
          <w:p w14:paraId="237F656D">
            <w:pPr>
              <w:pStyle w:val="552"/>
              <w:ind w:firstLine="480"/>
            </w:pPr>
            <w:r>
              <w:rPr>
                <w:rFonts w:hint="eastAsia"/>
                <w:sz w:val="24"/>
              </w:rPr>
              <w:t>项目运营期产排污环节及相关治理措施见表2-</w:t>
            </w:r>
            <w:r>
              <w:rPr>
                <w:sz w:val="24"/>
              </w:rPr>
              <w:t>8</w:t>
            </w:r>
            <w:r>
              <w:rPr>
                <w:rFonts w:hint="eastAsia"/>
                <w:sz w:val="24"/>
              </w:rPr>
              <w:t>。</w:t>
            </w:r>
          </w:p>
          <w:p w14:paraId="1EF5BF77">
            <w:pPr>
              <w:pStyle w:val="13"/>
              <w:rPr>
                <w:rFonts w:eastAsia="宋体"/>
                <w:sz w:val="21"/>
                <w:szCs w:val="21"/>
              </w:rPr>
            </w:pPr>
            <w:r>
              <w:rPr>
                <w:rFonts w:hint="eastAsia" w:eastAsia="宋体"/>
                <w:b/>
                <w:bCs/>
                <w:sz w:val="21"/>
                <w:szCs w:val="21"/>
              </w:rPr>
              <w:t>表</w:t>
            </w:r>
            <w:r>
              <w:rPr>
                <w:rFonts w:eastAsia="宋体"/>
                <w:b/>
                <w:bCs/>
                <w:sz w:val="21"/>
                <w:szCs w:val="21"/>
              </w:rPr>
              <w:t xml:space="preserve">2-8  </w:t>
            </w:r>
            <w:r>
              <w:rPr>
                <w:rFonts w:hint="eastAsia" w:eastAsia="宋体"/>
                <w:b/>
                <w:bCs/>
                <w:sz w:val="21"/>
                <w:szCs w:val="21"/>
              </w:rPr>
              <w:t>运营期产排污环节分析表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96"/>
              <w:gridCol w:w="1160"/>
              <w:gridCol w:w="2545"/>
              <w:gridCol w:w="1559"/>
              <w:gridCol w:w="2195"/>
            </w:tblGrid>
            <w:tr w14:paraId="4D739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tcMar>
                    <w:left w:w="0" w:type="dxa"/>
                    <w:right w:w="0" w:type="dxa"/>
                  </w:tcMar>
                  <w:vAlign w:val="center"/>
                </w:tcPr>
                <w:p w14:paraId="54BF0482">
                  <w:pPr>
                    <w:adjustRightInd w:val="0"/>
                    <w:snapToGrid w:val="0"/>
                    <w:jc w:val="center"/>
                    <w:rPr>
                      <w:szCs w:val="21"/>
                    </w:rPr>
                  </w:pPr>
                  <w:r>
                    <w:rPr>
                      <w:rFonts w:hint="eastAsia"/>
                      <w:szCs w:val="21"/>
                    </w:rPr>
                    <w:t>类别</w:t>
                  </w:r>
                </w:p>
              </w:tc>
              <w:tc>
                <w:tcPr>
                  <w:tcW w:w="720" w:type="pct"/>
                  <w:tcMar>
                    <w:left w:w="0" w:type="dxa"/>
                    <w:right w:w="0" w:type="dxa"/>
                  </w:tcMar>
                  <w:vAlign w:val="center"/>
                </w:tcPr>
                <w:p w14:paraId="3F1CC59F">
                  <w:pPr>
                    <w:adjustRightInd w:val="0"/>
                    <w:snapToGrid w:val="0"/>
                    <w:jc w:val="center"/>
                    <w:rPr>
                      <w:szCs w:val="21"/>
                    </w:rPr>
                  </w:pPr>
                  <w:r>
                    <w:rPr>
                      <w:rFonts w:hint="eastAsia"/>
                      <w:szCs w:val="21"/>
                    </w:rPr>
                    <w:t>序号</w:t>
                  </w:r>
                </w:p>
              </w:tc>
              <w:tc>
                <w:tcPr>
                  <w:tcW w:w="1580" w:type="pct"/>
                  <w:vAlign w:val="center"/>
                </w:tcPr>
                <w:p w14:paraId="4DD628CC">
                  <w:pPr>
                    <w:adjustRightInd w:val="0"/>
                    <w:snapToGrid w:val="0"/>
                    <w:jc w:val="center"/>
                    <w:rPr>
                      <w:szCs w:val="21"/>
                    </w:rPr>
                  </w:pPr>
                  <w:r>
                    <w:rPr>
                      <w:szCs w:val="21"/>
                    </w:rPr>
                    <w:t>产污环节</w:t>
                  </w:r>
                </w:p>
              </w:tc>
              <w:tc>
                <w:tcPr>
                  <w:tcW w:w="968" w:type="pct"/>
                  <w:vAlign w:val="center"/>
                </w:tcPr>
                <w:p w14:paraId="2BE7F141">
                  <w:pPr>
                    <w:adjustRightInd w:val="0"/>
                    <w:snapToGrid w:val="0"/>
                    <w:jc w:val="center"/>
                    <w:rPr>
                      <w:szCs w:val="21"/>
                    </w:rPr>
                  </w:pPr>
                  <w:r>
                    <w:rPr>
                      <w:szCs w:val="21"/>
                    </w:rPr>
                    <w:t>污染因子</w:t>
                  </w:r>
                </w:p>
              </w:tc>
              <w:tc>
                <w:tcPr>
                  <w:tcW w:w="1362" w:type="pct"/>
                  <w:vAlign w:val="center"/>
                </w:tcPr>
                <w:p w14:paraId="7C1F079A">
                  <w:pPr>
                    <w:adjustRightInd w:val="0"/>
                    <w:snapToGrid w:val="0"/>
                    <w:jc w:val="center"/>
                    <w:rPr>
                      <w:szCs w:val="21"/>
                    </w:rPr>
                  </w:pPr>
                  <w:r>
                    <w:rPr>
                      <w:rFonts w:hint="eastAsia"/>
                      <w:szCs w:val="21"/>
                    </w:rPr>
                    <w:t>治理措施</w:t>
                  </w:r>
                </w:p>
              </w:tc>
            </w:tr>
            <w:tr w14:paraId="58912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restart"/>
                  <w:tcMar>
                    <w:left w:w="0" w:type="dxa"/>
                    <w:right w:w="0" w:type="dxa"/>
                  </w:tcMar>
                  <w:vAlign w:val="center"/>
                </w:tcPr>
                <w:p w14:paraId="66D8901F">
                  <w:pPr>
                    <w:adjustRightInd w:val="0"/>
                    <w:snapToGrid w:val="0"/>
                    <w:jc w:val="center"/>
                    <w:rPr>
                      <w:szCs w:val="21"/>
                    </w:rPr>
                  </w:pPr>
                  <w:r>
                    <w:rPr>
                      <w:rFonts w:hint="eastAsia"/>
                      <w:szCs w:val="21"/>
                    </w:rPr>
                    <w:t>废气</w:t>
                  </w:r>
                </w:p>
              </w:tc>
              <w:tc>
                <w:tcPr>
                  <w:tcW w:w="720" w:type="pct"/>
                  <w:tcMar>
                    <w:left w:w="0" w:type="dxa"/>
                    <w:right w:w="0" w:type="dxa"/>
                  </w:tcMar>
                  <w:vAlign w:val="center"/>
                </w:tcPr>
                <w:p w14:paraId="1D1DD3AC">
                  <w:pPr>
                    <w:adjustRightInd w:val="0"/>
                    <w:snapToGrid w:val="0"/>
                    <w:jc w:val="center"/>
                    <w:rPr>
                      <w:szCs w:val="21"/>
                    </w:rPr>
                  </w:pPr>
                  <w:r>
                    <w:rPr>
                      <w:rFonts w:hint="eastAsia"/>
                      <w:szCs w:val="21"/>
                    </w:rPr>
                    <w:t>G</w:t>
                  </w:r>
                  <w:r>
                    <w:rPr>
                      <w:szCs w:val="21"/>
                    </w:rPr>
                    <w:t>1</w:t>
                  </w:r>
                </w:p>
              </w:tc>
              <w:tc>
                <w:tcPr>
                  <w:tcW w:w="1580" w:type="pct"/>
                  <w:vAlign w:val="center"/>
                </w:tcPr>
                <w:p w14:paraId="1C4E423B">
                  <w:pPr>
                    <w:adjustRightInd w:val="0"/>
                    <w:snapToGrid w:val="0"/>
                    <w:jc w:val="center"/>
                    <w:rPr>
                      <w:szCs w:val="21"/>
                    </w:rPr>
                  </w:pPr>
                  <w:r>
                    <w:rPr>
                      <w:rFonts w:hint="eastAsia"/>
                      <w:szCs w:val="21"/>
                    </w:rPr>
                    <w:t>原料装卸、堆放</w:t>
                  </w:r>
                </w:p>
              </w:tc>
              <w:tc>
                <w:tcPr>
                  <w:tcW w:w="968" w:type="pct"/>
                  <w:vAlign w:val="center"/>
                </w:tcPr>
                <w:p w14:paraId="014F959F">
                  <w:pPr>
                    <w:adjustRightInd w:val="0"/>
                    <w:snapToGrid w:val="0"/>
                    <w:jc w:val="center"/>
                    <w:rPr>
                      <w:szCs w:val="21"/>
                    </w:rPr>
                  </w:pPr>
                  <w:r>
                    <w:rPr>
                      <w:rFonts w:hint="eastAsia"/>
                      <w:szCs w:val="21"/>
                    </w:rPr>
                    <w:t>颗粒物</w:t>
                  </w:r>
                </w:p>
              </w:tc>
              <w:tc>
                <w:tcPr>
                  <w:tcW w:w="1362" w:type="pct"/>
                  <w:vAlign w:val="center"/>
                </w:tcPr>
                <w:p w14:paraId="652BB37A">
                  <w:pPr>
                    <w:adjustRightInd w:val="0"/>
                    <w:snapToGrid w:val="0"/>
                    <w:jc w:val="center"/>
                    <w:rPr>
                      <w:szCs w:val="21"/>
                    </w:rPr>
                  </w:pPr>
                  <w:r>
                    <w:rPr>
                      <w:rFonts w:hint="eastAsia"/>
                      <w:szCs w:val="21"/>
                    </w:rPr>
                    <w:t>全封闭原料库，地面硬化，配备移动式雾炮车洒水降尘</w:t>
                  </w:r>
                </w:p>
              </w:tc>
            </w:tr>
            <w:tr w14:paraId="433FF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5415C4D5">
                  <w:pPr>
                    <w:adjustRightInd w:val="0"/>
                    <w:snapToGrid w:val="0"/>
                    <w:jc w:val="center"/>
                    <w:rPr>
                      <w:szCs w:val="21"/>
                    </w:rPr>
                  </w:pPr>
                </w:p>
              </w:tc>
              <w:tc>
                <w:tcPr>
                  <w:tcW w:w="720" w:type="pct"/>
                  <w:tcMar>
                    <w:left w:w="0" w:type="dxa"/>
                    <w:right w:w="0" w:type="dxa"/>
                  </w:tcMar>
                  <w:vAlign w:val="center"/>
                </w:tcPr>
                <w:p w14:paraId="622CF76B">
                  <w:pPr>
                    <w:adjustRightInd w:val="0"/>
                    <w:snapToGrid w:val="0"/>
                    <w:jc w:val="center"/>
                    <w:rPr>
                      <w:szCs w:val="21"/>
                    </w:rPr>
                  </w:pPr>
                  <w:r>
                    <w:rPr>
                      <w:szCs w:val="21"/>
                    </w:rPr>
                    <w:t>G</w:t>
                  </w:r>
                  <w:r>
                    <w:rPr>
                      <w:rFonts w:hint="eastAsia"/>
                      <w:szCs w:val="21"/>
                    </w:rPr>
                    <w:t>2</w:t>
                  </w:r>
                </w:p>
              </w:tc>
              <w:tc>
                <w:tcPr>
                  <w:tcW w:w="1580" w:type="pct"/>
                  <w:vAlign w:val="center"/>
                </w:tcPr>
                <w:p w14:paraId="721CAE1E">
                  <w:pPr>
                    <w:adjustRightInd w:val="0"/>
                    <w:snapToGrid w:val="0"/>
                    <w:jc w:val="center"/>
                    <w:rPr>
                      <w:szCs w:val="21"/>
                    </w:rPr>
                  </w:pPr>
                  <w:r>
                    <w:rPr>
                      <w:rFonts w:hint="eastAsia"/>
                      <w:szCs w:val="21"/>
                    </w:rPr>
                    <w:t>砂子进入受料斗</w:t>
                  </w:r>
                </w:p>
              </w:tc>
              <w:tc>
                <w:tcPr>
                  <w:tcW w:w="968" w:type="pct"/>
                  <w:vAlign w:val="center"/>
                </w:tcPr>
                <w:p w14:paraId="5150A477">
                  <w:pPr>
                    <w:adjustRightInd w:val="0"/>
                    <w:snapToGrid w:val="0"/>
                    <w:jc w:val="center"/>
                    <w:rPr>
                      <w:szCs w:val="21"/>
                    </w:rPr>
                  </w:pPr>
                  <w:r>
                    <w:rPr>
                      <w:rFonts w:hint="eastAsia"/>
                      <w:szCs w:val="21"/>
                    </w:rPr>
                    <w:t>颗粒物</w:t>
                  </w:r>
                </w:p>
              </w:tc>
              <w:tc>
                <w:tcPr>
                  <w:tcW w:w="1362" w:type="pct"/>
                  <w:vAlign w:val="center"/>
                </w:tcPr>
                <w:p w14:paraId="1DC254E8">
                  <w:pPr>
                    <w:adjustRightInd w:val="0"/>
                    <w:snapToGrid w:val="0"/>
                    <w:jc w:val="center"/>
                    <w:rPr>
                      <w:szCs w:val="21"/>
                    </w:rPr>
                  </w:pPr>
                  <w:r>
                    <w:rPr>
                      <w:rFonts w:hint="eastAsia"/>
                      <w:szCs w:val="21"/>
                    </w:rPr>
                    <w:t>集尘罩+袋式除尘器</w:t>
                  </w:r>
                </w:p>
              </w:tc>
            </w:tr>
            <w:tr w14:paraId="7124F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08C3F1FD">
                  <w:pPr>
                    <w:adjustRightInd w:val="0"/>
                    <w:snapToGrid w:val="0"/>
                    <w:jc w:val="center"/>
                    <w:rPr>
                      <w:szCs w:val="21"/>
                    </w:rPr>
                  </w:pPr>
                </w:p>
              </w:tc>
              <w:tc>
                <w:tcPr>
                  <w:tcW w:w="720" w:type="pct"/>
                  <w:tcMar>
                    <w:left w:w="0" w:type="dxa"/>
                    <w:right w:w="0" w:type="dxa"/>
                  </w:tcMar>
                  <w:vAlign w:val="center"/>
                </w:tcPr>
                <w:p w14:paraId="60272B35">
                  <w:pPr>
                    <w:adjustRightInd w:val="0"/>
                    <w:snapToGrid w:val="0"/>
                    <w:jc w:val="center"/>
                    <w:rPr>
                      <w:szCs w:val="21"/>
                    </w:rPr>
                  </w:pPr>
                  <w:r>
                    <w:rPr>
                      <w:szCs w:val="21"/>
                    </w:rPr>
                    <w:t>G</w:t>
                  </w:r>
                  <w:r>
                    <w:rPr>
                      <w:rFonts w:hint="eastAsia"/>
                      <w:szCs w:val="21"/>
                    </w:rPr>
                    <w:t>3</w:t>
                  </w:r>
                  <w:r>
                    <w:rPr>
                      <w:szCs w:val="21"/>
                    </w:rPr>
                    <w:t>~G</w:t>
                  </w:r>
                  <w:r>
                    <w:rPr>
                      <w:rFonts w:hint="eastAsia"/>
                      <w:szCs w:val="21"/>
                    </w:rPr>
                    <w:t>7</w:t>
                  </w:r>
                </w:p>
              </w:tc>
              <w:tc>
                <w:tcPr>
                  <w:tcW w:w="1580" w:type="pct"/>
                  <w:vAlign w:val="center"/>
                </w:tcPr>
                <w:p w14:paraId="59B18836">
                  <w:pPr>
                    <w:adjustRightInd w:val="0"/>
                    <w:snapToGrid w:val="0"/>
                    <w:jc w:val="center"/>
                    <w:rPr>
                      <w:szCs w:val="21"/>
                    </w:rPr>
                  </w:pPr>
                  <w:r>
                    <w:rPr>
                      <w:rFonts w:hint="eastAsia"/>
                      <w:szCs w:val="21"/>
                    </w:rPr>
                    <w:t>搅拌上料计量、搅拌</w:t>
                  </w:r>
                </w:p>
              </w:tc>
              <w:tc>
                <w:tcPr>
                  <w:tcW w:w="968" w:type="pct"/>
                  <w:vAlign w:val="center"/>
                </w:tcPr>
                <w:p w14:paraId="0AC37868">
                  <w:pPr>
                    <w:adjustRightInd w:val="0"/>
                    <w:snapToGrid w:val="0"/>
                    <w:jc w:val="center"/>
                    <w:rPr>
                      <w:szCs w:val="21"/>
                    </w:rPr>
                  </w:pPr>
                  <w:r>
                    <w:rPr>
                      <w:rFonts w:hint="eastAsia"/>
                      <w:szCs w:val="21"/>
                    </w:rPr>
                    <w:t>颗粒物</w:t>
                  </w:r>
                </w:p>
              </w:tc>
              <w:tc>
                <w:tcPr>
                  <w:tcW w:w="1362" w:type="pct"/>
                  <w:vAlign w:val="center"/>
                </w:tcPr>
                <w:p w14:paraId="07EED9C5">
                  <w:pPr>
                    <w:adjustRightInd w:val="0"/>
                    <w:snapToGrid w:val="0"/>
                    <w:jc w:val="center"/>
                    <w:rPr>
                      <w:szCs w:val="21"/>
                    </w:rPr>
                  </w:pPr>
                  <w:r>
                    <w:rPr>
                      <w:rFonts w:hint="eastAsia"/>
                      <w:szCs w:val="21"/>
                    </w:rPr>
                    <w:t>袋式除尘器</w:t>
                  </w:r>
                </w:p>
              </w:tc>
            </w:tr>
            <w:tr w14:paraId="1F8D5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336DC6A1">
                  <w:pPr>
                    <w:adjustRightInd w:val="0"/>
                    <w:snapToGrid w:val="0"/>
                    <w:jc w:val="center"/>
                    <w:rPr>
                      <w:szCs w:val="21"/>
                    </w:rPr>
                  </w:pPr>
                </w:p>
              </w:tc>
              <w:tc>
                <w:tcPr>
                  <w:tcW w:w="720" w:type="pct"/>
                  <w:tcMar>
                    <w:left w:w="0" w:type="dxa"/>
                    <w:right w:w="0" w:type="dxa"/>
                  </w:tcMar>
                  <w:vAlign w:val="center"/>
                </w:tcPr>
                <w:p w14:paraId="1569DDB1">
                  <w:pPr>
                    <w:adjustRightInd w:val="0"/>
                    <w:snapToGrid w:val="0"/>
                    <w:jc w:val="center"/>
                    <w:rPr>
                      <w:szCs w:val="21"/>
                    </w:rPr>
                  </w:pPr>
                  <w:r>
                    <w:rPr>
                      <w:szCs w:val="21"/>
                    </w:rPr>
                    <w:t>G</w:t>
                  </w:r>
                  <w:r>
                    <w:rPr>
                      <w:rFonts w:hint="eastAsia"/>
                      <w:szCs w:val="21"/>
                    </w:rPr>
                    <w:t>8</w:t>
                  </w:r>
                </w:p>
              </w:tc>
              <w:tc>
                <w:tcPr>
                  <w:tcW w:w="1580" w:type="pct"/>
                  <w:vAlign w:val="center"/>
                </w:tcPr>
                <w:p w14:paraId="196A828E">
                  <w:pPr>
                    <w:adjustRightInd w:val="0"/>
                    <w:snapToGrid w:val="0"/>
                    <w:jc w:val="center"/>
                    <w:rPr>
                      <w:szCs w:val="21"/>
                    </w:rPr>
                  </w:pPr>
                  <w:r>
                    <w:rPr>
                      <w:rFonts w:hint="eastAsia"/>
                      <w:szCs w:val="21"/>
                    </w:rPr>
                    <w:t>成品干粉砂浆进入独立成品仓进仓</w:t>
                  </w:r>
                </w:p>
              </w:tc>
              <w:tc>
                <w:tcPr>
                  <w:tcW w:w="968" w:type="pct"/>
                  <w:vAlign w:val="center"/>
                </w:tcPr>
                <w:p w14:paraId="261F3E5B">
                  <w:pPr>
                    <w:adjustRightInd w:val="0"/>
                    <w:snapToGrid w:val="0"/>
                    <w:jc w:val="center"/>
                    <w:rPr>
                      <w:szCs w:val="21"/>
                    </w:rPr>
                  </w:pPr>
                  <w:r>
                    <w:rPr>
                      <w:rFonts w:hint="eastAsia"/>
                      <w:szCs w:val="21"/>
                    </w:rPr>
                    <w:t>颗粒物</w:t>
                  </w:r>
                </w:p>
              </w:tc>
              <w:tc>
                <w:tcPr>
                  <w:tcW w:w="1362" w:type="pct"/>
                  <w:vAlign w:val="center"/>
                </w:tcPr>
                <w:p w14:paraId="17A7E873">
                  <w:pPr>
                    <w:adjustRightInd w:val="0"/>
                    <w:snapToGrid w:val="0"/>
                    <w:jc w:val="center"/>
                    <w:rPr>
                      <w:szCs w:val="21"/>
                    </w:rPr>
                  </w:pPr>
                  <w:r>
                    <w:rPr>
                      <w:rFonts w:hint="eastAsia"/>
                      <w:szCs w:val="21"/>
                    </w:rPr>
                    <w:t>袋式除尘器</w:t>
                  </w:r>
                </w:p>
              </w:tc>
            </w:tr>
            <w:tr w14:paraId="6BFFF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0B649E0F">
                  <w:pPr>
                    <w:adjustRightInd w:val="0"/>
                    <w:snapToGrid w:val="0"/>
                    <w:jc w:val="center"/>
                    <w:rPr>
                      <w:szCs w:val="21"/>
                    </w:rPr>
                  </w:pPr>
                </w:p>
              </w:tc>
              <w:tc>
                <w:tcPr>
                  <w:tcW w:w="720" w:type="pct"/>
                  <w:tcMar>
                    <w:left w:w="0" w:type="dxa"/>
                    <w:right w:w="0" w:type="dxa"/>
                  </w:tcMar>
                  <w:vAlign w:val="center"/>
                </w:tcPr>
                <w:p w14:paraId="2E106284">
                  <w:pPr>
                    <w:adjustRightInd w:val="0"/>
                    <w:snapToGrid w:val="0"/>
                    <w:jc w:val="center"/>
                    <w:rPr>
                      <w:szCs w:val="21"/>
                    </w:rPr>
                  </w:pPr>
                  <w:r>
                    <w:rPr>
                      <w:szCs w:val="21"/>
                    </w:rPr>
                    <w:t>G</w:t>
                  </w:r>
                  <w:r>
                    <w:rPr>
                      <w:rFonts w:hint="eastAsia"/>
                      <w:szCs w:val="21"/>
                    </w:rPr>
                    <w:t>9</w:t>
                  </w:r>
                </w:p>
              </w:tc>
              <w:tc>
                <w:tcPr>
                  <w:tcW w:w="1580" w:type="pct"/>
                  <w:vAlign w:val="center"/>
                </w:tcPr>
                <w:p w14:paraId="45A03D37">
                  <w:pPr>
                    <w:adjustRightInd w:val="0"/>
                    <w:snapToGrid w:val="0"/>
                    <w:jc w:val="center"/>
                    <w:rPr>
                      <w:szCs w:val="21"/>
                    </w:rPr>
                  </w:pPr>
                  <w:r>
                    <w:rPr>
                      <w:rFonts w:hint="eastAsia"/>
                      <w:szCs w:val="21"/>
                    </w:rPr>
                    <w:t>成品散装装车外运</w:t>
                  </w:r>
                </w:p>
              </w:tc>
              <w:tc>
                <w:tcPr>
                  <w:tcW w:w="968" w:type="pct"/>
                  <w:vAlign w:val="center"/>
                </w:tcPr>
                <w:p w14:paraId="2F5949F6">
                  <w:pPr>
                    <w:adjustRightInd w:val="0"/>
                    <w:snapToGrid w:val="0"/>
                    <w:jc w:val="center"/>
                    <w:rPr>
                      <w:szCs w:val="21"/>
                    </w:rPr>
                  </w:pPr>
                  <w:r>
                    <w:rPr>
                      <w:rFonts w:hint="eastAsia"/>
                      <w:szCs w:val="21"/>
                    </w:rPr>
                    <w:t>颗粒物</w:t>
                  </w:r>
                </w:p>
              </w:tc>
              <w:tc>
                <w:tcPr>
                  <w:tcW w:w="1362" w:type="pct"/>
                  <w:vAlign w:val="center"/>
                </w:tcPr>
                <w:p w14:paraId="0F773A30">
                  <w:pPr>
                    <w:adjustRightInd w:val="0"/>
                    <w:snapToGrid w:val="0"/>
                    <w:jc w:val="center"/>
                    <w:rPr>
                      <w:szCs w:val="21"/>
                    </w:rPr>
                  </w:pPr>
                  <w:r>
                    <w:rPr>
                      <w:rFonts w:hint="eastAsia"/>
                      <w:szCs w:val="21"/>
                    </w:rPr>
                    <w:t>袋式除尘器</w:t>
                  </w:r>
                </w:p>
              </w:tc>
            </w:tr>
            <w:tr w14:paraId="2466E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5503C870">
                  <w:pPr>
                    <w:adjustRightInd w:val="0"/>
                    <w:snapToGrid w:val="0"/>
                    <w:jc w:val="center"/>
                    <w:rPr>
                      <w:szCs w:val="21"/>
                    </w:rPr>
                  </w:pPr>
                </w:p>
              </w:tc>
              <w:tc>
                <w:tcPr>
                  <w:tcW w:w="720" w:type="pct"/>
                  <w:tcMar>
                    <w:left w:w="0" w:type="dxa"/>
                    <w:right w:w="0" w:type="dxa"/>
                  </w:tcMar>
                  <w:vAlign w:val="center"/>
                </w:tcPr>
                <w:p w14:paraId="0D2D5B50">
                  <w:pPr>
                    <w:adjustRightInd w:val="0"/>
                    <w:snapToGrid w:val="0"/>
                    <w:jc w:val="center"/>
                    <w:rPr>
                      <w:szCs w:val="21"/>
                    </w:rPr>
                  </w:pPr>
                  <w:r>
                    <w:rPr>
                      <w:szCs w:val="21"/>
                    </w:rPr>
                    <w:t>G</w:t>
                  </w:r>
                  <w:r>
                    <w:rPr>
                      <w:rFonts w:hint="eastAsia"/>
                      <w:szCs w:val="21"/>
                    </w:rPr>
                    <w:t>10</w:t>
                  </w:r>
                </w:p>
              </w:tc>
              <w:tc>
                <w:tcPr>
                  <w:tcW w:w="1580" w:type="pct"/>
                  <w:vAlign w:val="center"/>
                </w:tcPr>
                <w:p w14:paraId="2014D1C0">
                  <w:pPr>
                    <w:adjustRightInd w:val="0"/>
                    <w:snapToGrid w:val="0"/>
                    <w:jc w:val="center"/>
                    <w:rPr>
                      <w:szCs w:val="21"/>
                    </w:rPr>
                  </w:pPr>
                  <w:r>
                    <w:rPr>
                      <w:rFonts w:hint="eastAsia"/>
                      <w:szCs w:val="21"/>
                    </w:rPr>
                    <w:t>成品包装</w:t>
                  </w:r>
                </w:p>
              </w:tc>
              <w:tc>
                <w:tcPr>
                  <w:tcW w:w="968" w:type="pct"/>
                  <w:vAlign w:val="center"/>
                </w:tcPr>
                <w:p w14:paraId="59BF6361">
                  <w:pPr>
                    <w:adjustRightInd w:val="0"/>
                    <w:snapToGrid w:val="0"/>
                    <w:jc w:val="center"/>
                    <w:rPr>
                      <w:szCs w:val="21"/>
                    </w:rPr>
                  </w:pPr>
                  <w:r>
                    <w:rPr>
                      <w:rFonts w:hint="eastAsia"/>
                      <w:szCs w:val="21"/>
                    </w:rPr>
                    <w:t>颗粒物</w:t>
                  </w:r>
                </w:p>
              </w:tc>
              <w:tc>
                <w:tcPr>
                  <w:tcW w:w="1362" w:type="pct"/>
                  <w:vAlign w:val="center"/>
                </w:tcPr>
                <w:p w14:paraId="1E5455A9">
                  <w:pPr>
                    <w:adjustRightInd w:val="0"/>
                    <w:snapToGrid w:val="0"/>
                    <w:jc w:val="center"/>
                    <w:rPr>
                      <w:szCs w:val="21"/>
                    </w:rPr>
                  </w:pPr>
                  <w:r>
                    <w:rPr>
                      <w:rFonts w:hint="eastAsia"/>
                      <w:szCs w:val="21"/>
                    </w:rPr>
                    <w:t>袋式除尘器</w:t>
                  </w:r>
                </w:p>
              </w:tc>
            </w:tr>
            <w:tr w14:paraId="500DC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1B41A308">
                  <w:pPr>
                    <w:adjustRightInd w:val="0"/>
                    <w:snapToGrid w:val="0"/>
                    <w:jc w:val="center"/>
                    <w:rPr>
                      <w:szCs w:val="21"/>
                    </w:rPr>
                  </w:pPr>
                </w:p>
              </w:tc>
              <w:tc>
                <w:tcPr>
                  <w:tcW w:w="720" w:type="pct"/>
                  <w:tcMar>
                    <w:left w:w="0" w:type="dxa"/>
                    <w:right w:w="0" w:type="dxa"/>
                  </w:tcMar>
                  <w:vAlign w:val="center"/>
                </w:tcPr>
                <w:p w14:paraId="40182207">
                  <w:pPr>
                    <w:adjustRightInd w:val="0"/>
                    <w:snapToGrid w:val="0"/>
                    <w:jc w:val="center"/>
                    <w:rPr>
                      <w:szCs w:val="21"/>
                    </w:rPr>
                  </w:pPr>
                  <w:r>
                    <w:rPr>
                      <w:szCs w:val="21"/>
                    </w:rPr>
                    <w:t>G</w:t>
                  </w:r>
                  <w:r>
                    <w:rPr>
                      <w:rFonts w:hint="eastAsia"/>
                      <w:szCs w:val="21"/>
                    </w:rPr>
                    <w:t>11</w:t>
                  </w:r>
                </w:p>
              </w:tc>
              <w:tc>
                <w:tcPr>
                  <w:tcW w:w="1580" w:type="pct"/>
                  <w:vAlign w:val="center"/>
                </w:tcPr>
                <w:p w14:paraId="78DE4241">
                  <w:pPr>
                    <w:adjustRightInd w:val="0"/>
                    <w:snapToGrid w:val="0"/>
                    <w:jc w:val="center"/>
                    <w:rPr>
                      <w:szCs w:val="21"/>
                    </w:rPr>
                  </w:pPr>
                  <w:r>
                    <w:rPr>
                      <w:rFonts w:hint="eastAsia"/>
                      <w:szCs w:val="21"/>
                    </w:rPr>
                    <w:t>主楼成品仓散装装车外运</w:t>
                  </w:r>
                </w:p>
              </w:tc>
              <w:tc>
                <w:tcPr>
                  <w:tcW w:w="968" w:type="pct"/>
                  <w:vAlign w:val="center"/>
                </w:tcPr>
                <w:p w14:paraId="01A09E0B">
                  <w:pPr>
                    <w:adjustRightInd w:val="0"/>
                    <w:snapToGrid w:val="0"/>
                    <w:jc w:val="center"/>
                    <w:rPr>
                      <w:szCs w:val="21"/>
                    </w:rPr>
                  </w:pPr>
                  <w:r>
                    <w:rPr>
                      <w:rFonts w:hint="eastAsia"/>
                      <w:szCs w:val="21"/>
                    </w:rPr>
                    <w:t>颗粒物</w:t>
                  </w:r>
                </w:p>
              </w:tc>
              <w:tc>
                <w:tcPr>
                  <w:tcW w:w="1362" w:type="pct"/>
                  <w:vAlign w:val="center"/>
                </w:tcPr>
                <w:p w14:paraId="09DBCB2A">
                  <w:pPr>
                    <w:adjustRightInd w:val="0"/>
                    <w:snapToGrid w:val="0"/>
                    <w:jc w:val="center"/>
                    <w:rPr>
                      <w:szCs w:val="21"/>
                    </w:rPr>
                  </w:pPr>
                  <w:r>
                    <w:rPr>
                      <w:rFonts w:hint="eastAsia"/>
                      <w:szCs w:val="21"/>
                    </w:rPr>
                    <w:t>袋式除尘器</w:t>
                  </w:r>
                </w:p>
              </w:tc>
            </w:tr>
            <w:tr w14:paraId="40BC2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3AE9CA53">
                  <w:pPr>
                    <w:adjustRightInd w:val="0"/>
                    <w:snapToGrid w:val="0"/>
                    <w:jc w:val="center"/>
                    <w:rPr>
                      <w:szCs w:val="21"/>
                    </w:rPr>
                  </w:pPr>
                </w:p>
              </w:tc>
              <w:tc>
                <w:tcPr>
                  <w:tcW w:w="720" w:type="pct"/>
                  <w:tcMar>
                    <w:left w:w="0" w:type="dxa"/>
                    <w:right w:w="0" w:type="dxa"/>
                  </w:tcMar>
                  <w:vAlign w:val="center"/>
                </w:tcPr>
                <w:p w14:paraId="36039CC8">
                  <w:pPr>
                    <w:adjustRightInd w:val="0"/>
                    <w:snapToGrid w:val="0"/>
                    <w:jc w:val="center"/>
                    <w:rPr>
                      <w:szCs w:val="21"/>
                    </w:rPr>
                  </w:pPr>
                  <w:r>
                    <w:rPr>
                      <w:szCs w:val="21"/>
                    </w:rPr>
                    <w:t>G</w:t>
                  </w:r>
                  <w:r>
                    <w:rPr>
                      <w:rFonts w:hint="eastAsia"/>
                      <w:szCs w:val="21"/>
                    </w:rPr>
                    <w:t>12</w:t>
                  </w:r>
                </w:p>
              </w:tc>
              <w:tc>
                <w:tcPr>
                  <w:tcW w:w="1580" w:type="pct"/>
                  <w:vAlign w:val="center"/>
                </w:tcPr>
                <w:p w14:paraId="43A27B33">
                  <w:pPr>
                    <w:adjustRightInd w:val="0"/>
                    <w:snapToGrid w:val="0"/>
                    <w:jc w:val="center"/>
                    <w:rPr>
                      <w:szCs w:val="21"/>
                    </w:rPr>
                  </w:pPr>
                  <w:r>
                    <w:rPr>
                      <w:rFonts w:hint="eastAsia"/>
                      <w:szCs w:val="21"/>
                    </w:rPr>
                    <w:t>水泥筒仓上料</w:t>
                  </w:r>
                </w:p>
              </w:tc>
              <w:tc>
                <w:tcPr>
                  <w:tcW w:w="968" w:type="pct"/>
                  <w:vAlign w:val="center"/>
                </w:tcPr>
                <w:p w14:paraId="4B5D2580">
                  <w:pPr>
                    <w:adjustRightInd w:val="0"/>
                    <w:snapToGrid w:val="0"/>
                    <w:jc w:val="center"/>
                    <w:rPr>
                      <w:szCs w:val="21"/>
                    </w:rPr>
                  </w:pPr>
                  <w:r>
                    <w:rPr>
                      <w:rFonts w:hint="eastAsia"/>
                      <w:szCs w:val="21"/>
                    </w:rPr>
                    <w:t>颗粒物</w:t>
                  </w:r>
                </w:p>
              </w:tc>
              <w:tc>
                <w:tcPr>
                  <w:tcW w:w="1362" w:type="pct"/>
                  <w:vAlign w:val="center"/>
                </w:tcPr>
                <w:p w14:paraId="4F746E66">
                  <w:pPr>
                    <w:adjustRightInd w:val="0"/>
                    <w:snapToGrid w:val="0"/>
                    <w:jc w:val="center"/>
                    <w:rPr>
                      <w:szCs w:val="21"/>
                    </w:rPr>
                  </w:pPr>
                  <w:r>
                    <w:rPr>
                      <w:rFonts w:hint="eastAsia"/>
                      <w:szCs w:val="21"/>
                    </w:rPr>
                    <w:t>袋式除尘器</w:t>
                  </w:r>
                </w:p>
              </w:tc>
            </w:tr>
            <w:tr w14:paraId="1B7F5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0C9DA926">
                  <w:pPr>
                    <w:adjustRightInd w:val="0"/>
                    <w:snapToGrid w:val="0"/>
                    <w:jc w:val="center"/>
                    <w:rPr>
                      <w:szCs w:val="21"/>
                    </w:rPr>
                  </w:pPr>
                </w:p>
              </w:tc>
              <w:tc>
                <w:tcPr>
                  <w:tcW w:w="720" w:type="pct"/>
                  <w:tcMar>
                    <w:left w:w="0" w:type="dxa"/>
                    <w:right w:w="0" w:type="dxa"/>
                  </w:tcMar>
                  <w:vAlign w:val="center"/>
                </w:tcPr>
                <w:p w14:paraId="176ED4B3">
                  <w:pPr>
                    <w:adjustRightInd w:val="0"/>
                    <w:snapToGrid w:val="0"/>
                    <w:jc w:val="center"/>
                    <w:rPr>
                      <w:szCs w:val="21"/>
                    </w:rPr>
                  </w:pPr>
                  <w:r>
                    <w:rPr>
                      <w:szCs w:val="21"/>
                    </w:rPr>
                    <w:t>G1</w:t>
                  </w:r>
                  <w:r>
                    <w:rPr>
                      <w:rFonts w:hint="eastAsia"/>
                      <w:szCs w:val="21"/>
                    </w:rPr>
                    <w:t>3</w:t>
                  </w:r>
                </w:p>
              </w:tc>
              <w:tc>
                <w:tcPr>
                  <w:tcW w:w="1580" w:type="pct"/>
                  <w:vAlign w:val="center"/>
                </w:tcPr>
                <w:p w14:paraId="11E28BDB">
                  <w:pPr>
                    <w:adjustRightInd w:val="0"/>
                    <w:snapToGrid w:val="0"/>
                    <w:jc w:val="center"/>
                    <w:rPr>
                      <w:szCs w:val="21"/>
                    </w:rPr>
                  </w:pPr>
                  <w:r>
                    <w:rPr>
                      <w:rFonts w:hint="eastAsia"/>
                      <w:szCs w:val="21"/>
                    </w:rPr>
                    <w:t>粉煤灰筒仓上料</w:t>
                  </w:r>
                </w:p>
              </w:tc>
              <w:tc>
                <w:tcPr>
                  <w:tcW w:w="968" w:type="pct"/>
                  <w:vAlign w:val="center"/>
                </w:tcPr>
                <w:p w14:paraId="3B1C0635">
                  <w:pPr>
                    <w:adjustRightInd w:val="0"/>
                    <w:snapToGrid w:val="0"/>
                    <w:jc w:val="center"/>
                    <w:rPr>
                      <w:szCs w:val="21"/>
                    </w:rPr>
                  </w:pPr>
                  <w:r>
                    <w:rPr>
                      <w:rFonts w:hint="eastAsia"/>
                      <w:szCs w:val="21"/>
                    </w:rPr>
                    <w:t>颗粒物</w:t>
                  </w:r>
                </w:p>
              </w:tc>
              <w:tc>
                <w:tcPr>
                  <w:tcW w:w="1362" w:type="pct"/>
                  <w:vAlign w:val="center"/>
                </w:tcPr>
                <w:p w14:paraId="3D26FB31">
                  <w:pPr>
                    <w:adjustRightInd w:val="0"/>
                    <w:snapToGrid w:val="0"/>
                    <w:jc w:val="center"/>
                    <w:rPr>
                      <w:szCs w:val="21"/>
                    </w:rPr>
                  </w:pPr>
                  <w:r>
                    <w:rPr>
                      <w:rFonts w:hint="eastAsia"/>
                      <w:szCs w:val="21"/>
                    </w:rPr>
                    <w:t>袋式除尘器</w:t>
                  </w:r>
                </w:p>
              </w:tc>
            </w:tr>
            <w:tr w14:paraId="7EB7E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restart"/>
                  <w:tcMar>
                    <w:left w:w="0" w:type="dxa"/>
                    <w:right w:w="0" w:type="dxa"/>
                  </w:tcMar>
                  <w:vAlign w:val="center"/>
                </w:tcPr>
                <w:p w14:paraId="7FF06DA7">
                  <w:pPr>
                    <w:adjustRightInd w:val="0"/>
                    <w:snapToGrid w:val="0"/>
                    <w:jc w:val="center"/>
                    <w:rPr>
                      <w:szCs w:val="21"/>
                    </w:rPr>
                  </w:pPr>
                  <w:r>
                    <w:rPr>
                      <w:rFonts w:hint="eastAsia"/>
                      <w:szCs w:val="21"/>
                    </w:rPr>
                    <w:t>废水</w:t>
                  </w:r>
                </w:p>
              </w:tc>
              <w:tc>
                <w:tcPr>
                  <w:tcW w:w="720" w:type="pct"/>
                  <w:tcMar>
                    <w:left w:w="0" w:type="dxa"/>
                    <w:right w:w="0" w:type="dxa"/>
                  </w:tcMar>
                  <w:vAlign w:val="center"/>
                </w:tcPr>
                <w:p w14:paraId="45AB9EBF">
                  <w:pPr>
                    <w:adjustRightInd w:val="0"/>
                    <w:snapToGrid w:val="0"/>
                    <w:jc w:val="center"/>
                    <w:rPr>
                      <w:szCs w:val="21"/>
                    </w:rPr>
                  </w:pPr>
                  <w:r>
                    <w:rPr>
                      <w:rFonts w:hint="eastAsia"/>
                      <w:szCs w:val="21"/>
                    </w:rPr>
                    <w:t>W</w:t>
                  </w:r>
                  <w:r>
                    <w:rPr>
                      <w:szCs w:val="21"/>
                    </w:rPr>
                    <w:t>1</w:t>
                  </w:r>
                </w:p>
              </w:tc>
              <w:tc>
                <w:tcPr>
                  <w:tcW w:w="1580" w:type="pct"/>
                  <w:vAlign w:val="center"/>
                </w:tcPr>
                <w:p w14:paraId="63F5E19F">
                  <w:pPr>
                    <w:adjustRightInd w:val="0"/>
                    <w:snapToGrid w:val="0"/>
                    <w:jc w:val="center"/>
                    <w:rPr>
                      <w:szCs w:val="21"/>
                    </w:rPr>
                  </w:pPr>
                  <w:r>
                    <w:rPr>
                      <w:rFonts w:hint="eastAsia"/>
                      <w:szCs w:val="21"/>
                    </w:rPr>
                    <w:t>办公生活</w:t>
                  </w:r>
                </w:p>
              </w:tc>
              <w:tc>
                <w:tcPr>
                  <w:tcW w:w="968" w:type="pct"/>
                  <w:vAlign w:val="center"/>
                </w:tcPr>
                <w:p w14:paraId="6ADD819A">
                  <w:pPr>
                    <w:adjustRightInd w:val="0"/>
                    <w:snapToGrid w:val="0"/>
                    <w:jc w:val="center"/>
                    <w:rPr>
                      <w:szCs w:val="21"/>
                    </w:rPr>
                  </w:pPr>
                  <w:r>
                    <w:rPr>
                      <w:rFonts w:hint="eastAsia"/>
                      <w:szCs w:val="21"/>
                    </w:rPr>
                    <w:t>S</w:t>
                  </w:r>
                  <w:r>
                    <w:rPr>
                      <w:szCs w:val="21"/>
                    </w:rPr>
                    <w:t>S</w:t>
                  </w:r>
                  <w:r>
                    <w:rPr>
                      <w:rFonts w:hint="eastAsia"/>
                      <w:szCs w:val="21"/>
                    </w:rPr>
                    <w:t>、</w:t>
                  </w:r>
                  <w:r>
                    <w:rPr>
                      <w:szCs w:val="21"/>
                    </w:rPr>
                    <w:t>COD</w:t>
                  </w:r>
                  <w:r>
                    <w:rPr>
                      <w:rFonts w:hint="eastAsia"/>
                      <w:szCs w:val="21"/>
                    </w:rPr>
                    <w:t>、B</w:t>
                  </w:r>
                  <w:r>
                    <w:rPr>
                      <w:szCs w:val="21"/>
                    </w:rPr>
                    <w:t>OD</w:t>
                  </w:r>
                  <w:r>
                    <w:rPr>
                      <w:szCs w:val="21"/>
                      <w:vertAlign w:val="subscript"/>
                    </w:rPr>
                    <w:t>5</w:t>
                  </w:r>
                  <w:r>
                    <w:rPr>
                      <w:rFonts w:hint="eastAsia"/>
                      <w:szCs w:val="21"/>
                    </w:rPr>
                    <w:t>、NH</w:t>
                  </w:r>
                  <w:r>
                    <w:rPr>
                      <w:szCs w:val="21"/>
                      <w:vertAlign w:val="subscript"/>
                    </w:rPr>
                    <w:t>3</w:t>
                  </w:r>
                  <w:r>
                    <w:rPr>
                      <w:szCs w:val="21"/>
                    </w:rPr>
                    <w:t>-</w:t>
                  </w:r>
                  <w:r>
                    <w:rPr>
                      <w:rFonts w:hint="eastAsia"/>
                      <w:szCs w:val="21"/>
                    </w:rPr>
                    <w:t>N</w:t>
                  </w:r>
                </w:p>
              </w:tc>
              <w:tc>
                <w:tcPr>
                  <w:tcW w:w="1362" w:type="pct"/>
                  <w:vAlign w:val="center"/>
                </w:tcPr>
                <w:p w14:paraId="4EC1DFEA">
                  <w:pPr>
                    <w:adjustRightInd w:val="0"/>
                    <w:snapToGrid w:val="0"/>
                    <w:jc w:val="center"/>
                    <w:rPr>
                      <w:szCs w:val="21"/>
                    </w:rPr>
                  </w:pPr>
                  <w:r>
                    <w:rPr>
                      <w:rFonts w:hint="eastAsia"/>
                      <w:szCs w:val="21"/>
                    </w:rPr>
                    <w:t>排入化粪池，定期清掏</w:t>
                  </w:r>
                </w:p>
              </w:tc>
            </w:tr>
            <w:tr w14:paraId="608F6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713DAEBA">
                  <w:pPr>
                    <w:adjustRightInd w:val="0"/>
                    <w:snapToGrid w:val="0"/>
                    <w:jc w:val="center"/>
                    <w:rPr>
                      <w:szCs w:val="21"/>
                    </w:rPr>
                  </w:pPr>
                </w:p>
              </w:tc>
              <w:tc>
                <w:tcPr>
                  <w:tcW w:w="720" w:type="pct"/>
                  <w:tcMar>
                    <w:left w:w="0" w:type="dxa"/>
                    <w:right w:w="0" w:type="dxa"/>
                  </w:tcMar>
                  <w:vAlign w:val="center"/>
                </w:tcPr>
                <w:p w14:paraId="6664FC98">
                  <w:pPr>
                    <w:adjustRightInd w:val="0"/>
                    <w:snapToGrid w:val="0"/>
                    <w:jc w:val="center"/>
                    <w:rPr>
                      <w:szCs w:val="21"/>
                    </w:rPr>
                  </w:pPr>
                  <w:r>
                    <w:rPr>
                      <w:rFonts w:hint="eastAsia"/>
                      <w:szCs w:val="21"/>
                    </w:rPr>
                    <w:t>W</w:t>
                  </w:r>
                  <w:r>
                    <w:rPr>
                      <w:szCs w:val="21"/>
                    </w:rPr>
                    <w:t>2</w:t>
                  </w:r>
                </w:p>
              </w:tc>
              <w:tc>
                <w:tcPr>
                  <w:tcW w:w="1580" w:type="pct"/>
                  <w:vAlign w:val="center"/>
                </w:tcPr>
                <w:p w14:paraId="4B3B4A21">
                  <w:pPr>
                    <w:adjustRightInd w:val="0"/>
                    <w:snapToGrid w:val="0"/>
                    <w:jc w:val="center"/>
                    <w:rPr>
                      <w:szCs w:val="21"/>
                    </w:rPr>
                  </w:pPr>
                  <w:r>
                    <w:rPr>
                      <w:rFonts w:hint="eastAsia"/>
                      <w:szCs w:val="21"/>
                    </w:rPr>
                    <w:t>洗车废水</w:t>
                  </w:r>
                </w:p>
              </w:tc>
              <w:tc>
                <w:tcPr>
                  <w:tcW w:w="968" w:type="pct"/>
                  <w:vAlign w:val="center"/>
                </w:tcPr>
                <w:p w14:paraId="3C97B7F1">
                  <w:pPr>
                    <w:adjustRightInd w:val="0"/>
                    <w:snapToGrid w:val="0"/>
                    <w:jc w:val="center"/>
                    <w:rPr>
                      <w:szCs w:val="21"/>
                    </w:rPr>
                  </w:pPr>
                  <w:r>
                    <w:rPr>
                      <w:rFonts w:hint="eastAsia"/>
                      <w:szCs w:val="21"/>
                    </w:rPr>
                    <w:t>S</w:t>
                  </w:r>
                  <w:r>
                    <w:rPr>
                      <w:szCs w:val="21"/>
                    </w:rPr>
                    <w:t>S</w:t>
                  </w:r>
                </w:p>
              </w:tc>
              <w:tc>
                <w:tcPr>
                  <w:tcW w:w="1362" w:type="pct"/>
                  <w:vAlign w:val="center"/>
                </w:tcPr>
                <w:p w14:paraId="23787E3B">
                  <w:pPr>
                    <w:adjustRightInd w:val="0"/>
                    <w:snapToGrid w:val="0"/>
                    <w:jc w:val="center"/>
                    <w:rPr>
                      <w:szCs w:val="21"/>
                    </w:rPr>
                  </w:pPr>
                  <w:r>
                    <w:rPr>
                      <w:rFonts w:hint="eastAsia"/>
                      <w:szCs w:val="21"/>
                    </w:rPr>
                    <w:t>经沉淀后回用</w:t>
                  </w:r>
                </w:p>
              </w:tc>
            </w:tr>
            <w:tr w14:paraId="7E63D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370" w:type="pct"/>
                  <w:vMerge w:val="continue"/>
                  <w:tcMar>
                    <w:left w:w="0" w:type="dxa"/>
                    <w:right w:w="0" w:type="dxa"/>
                  </w:tcMar>
                  <w:vAlign w:val="center"/>
                </w:tcPr>
                <w:p w14:paraId="77EB8C1C">
                  <w:pPr>
                    <w:adjustRightInd w:val="0"/>
                    <w:snapToGrid w:val="0"/>
                    <w:jc w:val="center"/>
                    <w:rPr>
                      <w:szCs w:val="21"/>
                    </w:rPr>
                  </w:pPr>
                </w:p>
              </w:tc>
              <w:tc>
                <w:tcPr>
                  <w:tcW w:w="720" w:type="pct"/>
                  <w:tcMar>
                    <w:left w:w="0" w:type="dxa"/>
                    <w:right w:w="0" w:type="dxa"/>
                  </w:tcMar>
                  <w:vAlign w:val="center"/>
                </w:tcPr>
                <w:p w14:paraId="226B1798">
                  <w:pPr>
                    <w:adjustRightInd w:val="0"/>
                    <w:snapToGrid w:val="0"/>
                    <w:jc w:val="center"/>
                    <w:rPr>
                      <w:szCs w:val="21"/>
                    </w:rPr>
                  </w:pPr>
                  <w:r>
                    <w:rPr>
                      <w:rFonts w:hint="eastAsia"/>
                      <w:szCs w:val="21"/>
                    </w:rPr>
                    <w:t>/</w:t>
                  </w:r>
                </w:p>
              </w:tc>
              <w:tc>
                <w:tcPr>
                  <w:tcW w:w="1580" w:type="pct"/>
                  <w:vAlign w:val="center"/>
                </w:tcPr>
                <w:p w14:paraId="0174DACB">
                  <w:pPr>
                    <w:adjustRightInd w:val="0"/>
                    <w:snapToGrid w:val="0"/>
                    <w:jc w:val="center"/>
                    <w:rPr>
                      <w:szCs w:val="21"/>
                    </w:rPr>
                  </w:pPr>
                  <w:r>
                    <w:rPr>
                      <w:rFonts w:hint="eastAsia"/>
                      <w:szCs w:val="21"/>
                    </w:rPr>
                    <w:t>初期雨水</w:t>
                  </w:r>
                </w:p>
              </w:tc>
              <w:tc>
                <w:tcPr>
                  <w:tcW w:w="968" w:type="pct"/>
                  <w:vAlign w:val="center"/>
                </w:tcPr>
                <w:p w14:paraId="7AFA568A">
                  <w:pPr>
                    <w:adjustRightInd w:val="0"/>
                    <w:snapToGrid w:val="0"/>
                    <w:jc w:val="center"/>
                    <w:rPr>
                      <w:szCs w:val="21"/>
                    </w:rPr>
                  </w:pPr>
                  <w:r>
                    <w:rPr>
                      <w:rFonts w:hint="eastAsia"/>
                      <w:szCs w:val="21"/>
                    </w:rPr>
                    <w:t>S</w:t>
                  </w:r>
                  <w:r>
                    <w:rPr>
                      <w:szCs w:val="21"/>
                    </w:rPr>
                    <w:t>S</w:t>
                  </w:r>
                </w:p>
              </w:tc>
              <w:tc>
                <w:tcPr>
                  <w:tcW w:w="1362" w:type="pct"/>
                  <w:vAlign w:val="center"/>
                </w:tcPr>
                <w:p w14:paraId="70D6E032">
                  <w:pPr>
                    <w:adjustRightInd w:val="0"/>
                    <w:snapToGrid w:val="0"/>
                    <w:jc w:val="center"/>
                    <w:rPr>
                      <w:szCs w:val="21"/>
                    </w:rPr>
                  </w:pPr>
                  <w:r>
                    <w:rPr>
                      <w:rFonts w:hint="eastAsia"/>
                      <w:szCs w:val="21"/>
                    </w:rPr>
                    <w:t>经初期雨水池沉淀后用于厂区洒水抑尘</w:t>
                  </w:r>
                </w:p>
              </w:tc>
            </w:tr>
            <w:tr w14:paraId="1E3FC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restart"/>
                  <w:tcMar>
                    <w:left w:w="0" w:type="dxa"/>
                    <w:right w:w="0" w:type="dxa"/>
                  </w:tcMar>
                  <w:vAlign w:val="center"/>
                </w:tcPr>
                <w:p w14:paraId="56682423">
                  <w:pPr>
                    <w:adjustRightInd w:val="0"/>
                    <w:snapToGrid w:val="0"/>
                    <w:jc w:val="center"/>
                    <w:rPr>
                      <w:szCs w:val="21"/>
                    </w:rPr>
                  </w:pPr>
                  <w:r>
                    <w:rPr>
                      <w:rFonts w:hint="eastAsia"/>
                      <w:szCs w:val="21"/>
                    </w:rPr>
                    <w:t>固废</w:t>
                  </w:r>
                </w:p>
              </w:tc>
              <w:tc>
                <w:tcPr>
                  <w:tcW w:w="720" w:type="pct"/>
                  <w:tcMar>
                    <w:left w:w="0" w:type="dxa"/>
                    <w:right w:w="0" w:type="dxa"/>
                  </w:tcMar>
                  <w:vAlign w:val="center"/>
                </w:tcPr>
                <w:p w14:paraId="743F456D">
                  <w:pPr>
                    <w:adjustRightInd w:val="0"/>
                    <w:snapToGrid w:val="0"/>
                    <w:jc w:val="center"/>
                    <w:rPr>
                      <w:szCs w:val="21"/>
                    </w:rPr>
                  </w:pPr>
                  <w:r>
                    <w:rPr>
                      <w:rFonts w:hint="eastAsia"/>
                      <w:szCs w:val="21"/>
                    </w:rPr>
                    <w:t>生活垃圾</w:t>
                  </w:r>
                </w:p>
              </w:tc>
              <w:tc>
                <w:tcPr>
                  <w:tcW w:w="1580" w:type="pct"/>
                  <w:vAlign w:val="center"/>
                </w:tcPr>
                <w:p w14:paraId="3A576A53">
                  <w:pPr>
                    <w:adjustRightInd w:val="0"/>
                    <w:snapToGrid w:val="0"/>
                    <w:jc w:val="center"/>
                    <w:rPr>
                      <w:szCs w:val="21"/>
                    </w:rPr>
                  </w:pPr>
                  <w:r>
                    <w:rPr>
                      <w:rFonts w:hint="eastAsia"/>
                      <w:szCs w:val="21"/>
                    </w:rPr>
                    <w:t>日常办公生活</w:t>
                  </w:r>
                </w:p>
              </w:tc>
              <w:tc>
                <w:tcPr>
                  <w:tcW w:w="2330" w:type="pct"/>
                  <w:gridSpan w:val="2"/>
                  <w:vAlign w:val="center"/>
                </w:tcPr>
                <w:p w14:paraId="4696B237">
                  <w:pPr>
                    <w:adjustRightInd w:val="0"/>
                    <w:snapToGrid w:val="0"/>
                    <w:jc w:val="center"/>
                    <w:rPr>
                      <w:szCs w:val="21"/>
                    </w:rPr>
                  </w:pPr>
                  <w:r>
                    <w:rPr>
                      <w:rFonts w:hint="eastAsia"/>
                      <w:szCs w:val="21"/>
                    </w:rPr>
                    <w:t>厂区设置垃圾桶，收集后由环卫部门处置</w:t>
                  </w:r>
                </w:p>
              </w:tc>
            </w:tr>
            <w:tr w14:paraId="7D31E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10B8F2EB">
                  <w:pPr>
                    <w:adjustRightInd w:val="0"/>
                    <w:snapToGrid w:val="0"/>
                    <w:jc w:val="center"/>
                    <w:rPr>
                      <w:szCs w:val="21"/>
                    </w:rPr>
                  </w:pPr>
                </w:p>
              </w:tc>
              <w:tc>
                <w:tcPr>
                  <w:tcW w:w="720" w:type="pct"/>
                  <w:vMerge w:val="restart"/>
                  <w:tcMar>
                    <w:left w:w="0" w:type="dxa"/>
                    <w:right w:w="0" w:type="dxa"/>
                  </w:tcMar>
                  <w:vAlign w:val="center"/>
                </w:tcPr>
                <w:p w14:paraId="224BE1D0">
                  <w:pPr>
                    <w:adjustRightInd w:val="0"/>
                    <w:snapToGrid w:val="0"/>
                    <w:jc w:val="center"/>
                    <w:rPr>
                      <w:szCs w:val="21"/>
                    </w:rPr>
                  </w:pPr>
                  <w:r>
                    <w:rPr>
                      <w:rFonts w:hint="eastAsia"/>
                      <w:szCs w:val="21"/>
                    </w:rPr>
                    <w:t>一般固体</w:t>
                  </w:r>
                </w:p>
                <w:p w14:paraId="5422A421">
                  <w:pPr>
                    <w:adjustRightInd w:val="0"/>
                    <w:snapToGrid w:val="0"/>
                    <w:jc w:val="center"/>
                    <w:rPr>
                      <w:szCs w:val="21"/>
                    </w:rPr>
                  </w:pPr>
                  <w:r>
                    <w:rPr>
                      <w:rFonts w:hint="eastAsia"/>
                      <w:szCs w:val="21"/>
                    </w:rPr>
                    <w:t>废物</w:t>
                  </w:r>
                </w:p>
              </w:tc>
              <w:tc>
                <w:tcPr>
                  <w:tcW w:w="1580" w:type="pct"/>
                  <w:vAlign w:val="center"/>
                </w:tcPr>
                <w:p w14:paraId="4FFF6F56">
                  <w:pPr>
                    <w:adjustRightInd w:val="0"/>
                    <w:snapToGrid w:val="0"/>
                    <w:jc w:val="center"/>
                    <w:rPr>
                      <w:szCs w:val="21"/>
                    </w:rPr>
                  </w:pPr>
                  <w:r>
                    <w:rPr>
                      <w:rFonts w:hint="eastAsia"/>
                      <w:szCs w:val="21"/>
                    </w:rPr>
                    <w:t>除尘灰</w:t>
                  </w:r>
                </w:p>
              </w:tc>
              <w:tc>
                <w:tcPr>
                  <w:tcW w:w="2330" w:type="pct"/>
                  <w:gridSpan w:val="2"/>
                  <w:vAlign w:val="center"/>
                </w:tcPr>
                <w:p w14:paraId="155F1EEC">
                  <w:pPr>
                    <w:adjustRightInd w:val="0"/>
                    <w:snapToGrid w:val="0"/>
                    <w:jc w:val="center"/>
                    <w:rPr>
                      <w:szCs w:val="21"/>
                    </w:rPr>
                  </w:pPr>
                  <w:r>
                    <w:rPr>
                      <w:rFonts w:hint="eastAsia"/>
                      <w:szCs w:val="21"/>
                    </w:rPr>
                    <w:t>除尘灰回用于生产。</w:t>
                  </w:r>
                </w:p>
              </w:tc>
            </w:tr>
            <w:tr w14:paraId="39B50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7F7894B6">
                  <w:pPr>
                    <w:adjustRightInd w:val="0"/>
                    <w:snapToGrid w:val="0"/>
                    <w:jc w:val="center"/>
                    <w:rPr>
                      <w:szCs w:val="21"/>
                    </w:rPr>
                  </w:pPr>
                </w:p>
              </w:tc>
              <w:tc>
                <w:tcPr>
                  <w:tcW w:w="720" w:type="pct"/>
                  <w:vMerge w:val="continue"/>
                  <w:tcMar>
                    <w:left w:w="0" w:type="dxa"/>
                    <w:right w:w="0" w:type="dxa"/>
                  </w:tcMar>
                  <w:vAlign w:val="center"/>
                </w:tcPr>
                <w:p w14:paraId="4FEDFC3B">
                  <w:pPr>
                    <w:adjustRightInd w:val="0"/>
                    <w:snapToGrid w:val="0"/>
                    <w:jc w:val="center"/>
                    <w:rPr>
                      <w:szCs w:val="21"/>
                    </w:rPr>
                  </w:pPr>
                </w:p>
              </w:tc>
              <w:tc>
                <w:tcPr>
                  <w:tcW w:w="1580" w:type="pct"/>
                  <w:vAlign w:val="center"/>
                </w:tcPr>
                <w:p w14:paraId="77F255D9">
                  <w:pPr>
                    <w:adjustRightInd w:val="0"/>
                    <w:snapToGrid w:val="0"/>
                    <w:jc w:val="center"/>
                    <w:rPr>
                      <w:szCs w:val="21"/>
                    </w:rPr>
                  </w:pPr>
                  <w:r>
                    <w:rPr>
                      <w:rFonts w:hint="eastAsia"/>
                      <w:szCs w:val="21"/>
                    </w:rPr>
                    <w:t>添加剂废包装袋</w:t>
                  </w:r>
                </w:p>
              </w:tc>
              <w:tc>
                <w:tcPr>
                  <w:tcW w:w="2330" w:type="pct"/>
                  <w:gridSpan w:val="2"/>
                  <w:vMerge w:val="restart"/>
                  <w:vAlign w:val="center"/>
                </w:tcPr>
                <w:p w14:paraId="26D44DAF">
                  <w:pPr>
                    <w:adjustRightInd w:val="0"/>
                    <w:snapToGrid w:val="0"/>
                    <w:jc w:val="center"/>
                    <w:rPr>
                      <w:szCs w:val="21"/>
                    </w:rPr>
                  </w:pPr>
                  <w:r>
                    <w:rPr>
                      <w:rFonts w:hint="eastAsia"/>
                      <w:szCs w:val="21"/>
                    </w:rPr>
                    <w:t>存放于库房，定期清理。</w:t>
                  </w:r>
                </w:p>
              </w:tc>
            </w:tr>
            <w:tr w14:paraId="75E04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7045A037">
                  <w:pPr>
                    <w:adjustRightInd w:val="0"/>
                    <w:snapToGrid w:val="0"/>
                    <w:jc w:val="center"/>
                    <w:rPr>
                      <w:szCs w:val="21"/>
                    </w:rPr>
                  </w:pPr>
                </w:p>
              </w:tc>
              <w:tc>
                <w:tcPr>
                  <w:tcW w:w="720" w:type="pct"/>
                  <w:vMerge w:val="continue"/>
                  <w:tcMar>
                    <w:left w:w="0" w:type="dxa"/>
                    <w:right w:w="0" w:type="dxa"/>
                  </w:tcMar>
                  <w:vAlign w:val="center"/>
                </w:tcPr>
                <w:p w14:paraId="3A2043A9">
                  <w:pPr>
                    <w:adjustRightInd w:val="0"/>
                    <w:snapToGrid w:val="0"/>
                    <w:jc w:val="center"/>
                    <w:rPr>
                      <w:szCs w:val="21"/>
                    </w:rPr>
                  </w:pPr>
                </w:p>
              </w:tc>
              <w:tc>
                <w:tcPr>
                  <w:tcW w:w="1580" w:type="pct"/>
                  <w:vAlign w:val="center"/>
                </w:tcPr>
                <w:p w14:paraId="02D0709B">
                  <w:pPr>
                    <w:adjustRightInd w:val="0"/>
                    <w:snapToGrid w:val="0"/>
                    <w:jc w:val="center"/>
                    <w:rPr>
                      <w:szCs w:val="21"/>
                    </w:rPr>
                  </w:pPr>
                  <w:r>
                    <w:rPr>
                      <w:rFonts w:hint="eastAsia"/>
                      <w:szCs w:val="21"/>
                    </w:rPr>
                    <w:t>产品废包装袋</w:t>
                  </w:r>
                </w:p>
              </w:tc>
              <w:tc>
                <w:tcPr>
                  <w:tcW w:w="2330" w:type="pct"/>
                  <w:gridSpan w:val="2"/>
                  <w:vMerge w:val="continue"/>
                  <w:vAlign w:val="center"/>
                </w:tcPr>
                <w:p w14:paraId="117CA55B">
                  <w:pPr>
                    <w:adjustRightInd w:val="0"/>
                    <w:snapToGrid w:val="0"/>
                    <w:jc w:val="center"/>
                    <w:rPr>
                      <w:szCs w:val="21"/>
                    </w:rPr>
                  </w:pPr>
                </w:p>
              </w:tc>
            </w:tr>
            <w:tr w14:paraId="4BFD2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38E8B2A7">
                  <w:pPr>
                    <w:adjustRightInd w:val="0"/>
                    <w:snapToGrid w:val="0"/>
                    <w:jc w:val="center"/>
                    <w:rPr>
                      <w:szCs w:val="21"/>
                    </w:rPr>
                  </w:pPr>
                </w:p>
              </w:tc>
              <w:tc>
                <w:tcPr>
                  <w:tcW w:w="720" w:type="pct"/>
                  <w:vMerge w:val="continue"/>
                  <w:tcMar>
                    <w:left w:w="0" w:type="dxa"/>
                    <w:right w:w="0" w:type="dxa"/>
                  </w:tcMar>
                  <w:vAlign w:val="center"/>
                </w:tcPr>
                <w:p w14:paraId="521A7560">
                  <w:pPr>
                    <w:adjustRightInd w:val="0"/>
                    <w:snapToGrid w:val="0"/>
                    <w:jc w:val="center"/>
                    <w:rPr>
                      <w:szCs w:val="21"/>
                    </w:rPr>
                  </w:pPr>
                </w:p>
              </w:tc>
              <w:tc>
                <w:tcPr>
                  <w:tcW w:w="1580" w:type="pct"/>
                  <w:vAlign w:val="center"/>
                </w:tcPr>
                <w:p w14:paraId="5C15D35E">
                  <w:pPr>
                    <w:adjustRightInd w:val="0"/>
                    <w:snapToGrid w:val="0"/>
                    <w:jc w:val="center"/>
                    <w:rPr>
                      <w:szCs w:val="21"/>
                    </w:rPr>
                  </w:pPr>
                  <w:r>
                    <w:rPr>
                      <w:rFonts w:hint="eastAsia"/>
                      <w:szCs w:val="21"/>
                    </w:rPr>
                    <w:t>废除尘布袋</w:t>
                  </w:r>
                </w:p>
              </w:tc>
              <w:tc>
                <w:tcPr>
                  <w:tcW w:w="2330" w:type="pct"/>
                  <w:gridSpan w:val="2"/>
                  <w:vAlign w:val="center"/>
                </w:tcPr>
                <w:p w14:paraId="4C5AA1C7">
                  <w:pPr>
                    <w:adjustRightInd w:val="0"/>
                    <w:snapToGrid w:val="0"/>
                    <w:jc w:val="center"/>
                    <w:rPr>
                      <w:szCs w:val="21"/>
                    </w:rPr>
                  </w:pPr>
                  <w:r>
                    <w:rPr>
                      <w:rFonts w:hint="eastAsia"/>
                      <w:szCs w:val="21"/>
                    </w:rPr>
                    <w:t>厂家回收，更换后直接带走。</w:t>
                  </w:r>
                </w:p>
              </w:tc>
            </w:tr>
            <w:tr w14:paraId="04766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49CC72C6">
                  <w:pPr>
                    <w:adjustRightInd w:val="0"/>
                    <w:snapToGrid w:val="0"/>
                    <w:jc w:val="center"/>
                    <w:rPr>
                      <w:szCs w:val="21"/>
                    </w:rPr>
                  </w:pPr>
                </w:p>
              </w:tc>
              <w:tc>
                <w:tcPr>
                  <w:tcW w:w="720" w:type="pct"/>
                  <w:vMerge w:val="restart"/>
                  <w:tcMar>
                    <w:left w:w="0" w:type="dxa"/>
                    <w:right w:w="0" w:type="dxa"/>
                  </w:tcMar>
                  <w:vAlign w:val="center"/>
                </w:tcPr>
                <w:p w14:paraId="435BF3BD">
                  <w:pPr>
                    <w:adjustRightInd w:val="0"/>
                    <w:snapToGrid w:val="0"/>
                    <w:jc w:val="center"/>
                    <w:rPr>
                      <w:szCs w:val="21"/>
                    </w:rPr>
                  </w:pPr>
                  <w:r>
                    <w:rPr>
                      <w:rFonts w:hint="eastAsia"/>
                      <w:szCs w:val="21"/>
                    </w:rPr>
                    <w:t>危险废物</w:t>
                  </w:r>
                </w:p>
              </w:tc>
              <w:tc>
                <w:tcPr>
                  <w:tcW w:w="1580" w:type="pct"/>
                  <w:vAlign w:val="center"/>
                </w:tcPr>
                <w:p w14:paraId="39A28362">
                  <w:pPr>
                    <w:adjustRightInd w:val="0"/>
                    <w:snapToGrid w:val="0"/>
                    <w:jc w:val="center"/>
                    <w:rPr>
                      <w:szCs w:val="21"/>
                    </w:rPr>
                  </w:pPr>
                  <w:r>
                    <w:rPr>
                      <w:rFonts w:hint="eastAsia"/>
                      <w:szCs w:val="21"/>
                    </w:rPr>
                    <w:t>废机油</w:t>
                  </w:r>
                </w:p>
              </w:tc>
              <w:tc>
                <w:tcPr>
                  <w:tcW w:w="2330" w:type="pct"/>
                  <w:gridSpan w:val="2"/>
                  <w:vMerge w:val="restart"/>
                  <w:vAlign w:val="center"/>
                </w:tcPr>
                <w:p w14:paraId="2A972BC2">
                  <w:pPr>
                    <w:adjustRightInd w:val="0"/>
                    <w:snapToGrid w:val="0"/>
                    <w:jc w:val="center"/>
                    <w:rPr>
                      <w:szCs w:val="21"/>
                    </w:rPr>
                  </w:pPr>
                  <w:r>
                    <w:rPr>
                      <w:rFonts w:hint="eastAsia"/>
                      <w:szCs w:val="21"/>
                    </w:rPr>
                    <w:t>在危废</w:t>
                  </w:r>
                  <w:r>
                    <w:rPr>
                      <w:rFonts w:hint="eastAsia"/>
                      <w:color w:val="000000"/>
                      <w:szCs w:val="21"/>
                    </w:rPr>
                    <w:t>贮存库</w:t>
                  </w:r>
                  <w:r>
                    <w:rPr>
                      <w:rFonts w:hint="eastAsia"/>
                      <w:szCs w:val="21"/>
                    </w:rPr>
                    <w:t>暂存，定期交由有资质单位处置。</w:t>
                  </w:r>
                </w:p>
              </w:tc>
            </w:tr>
            <w:tr w14:paraId="1EE35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4E47E816">
                  <w:pPr>
                    <w:adjustRightInd w:val="0"/>
                    <w:snapToGrid w:val="0"/>
                    <w:jc w:val="center"/>
                    <w:rPr>
                      <w:szCs w:val="21"/>
                    </w:rPr>
                  </w:pPr>
                </w:p>
              </w:tc>
              <w:tc>
                <w:tcPr>
                  <w:tcW w:w="720" w:type="pct"/>
                  <w:vMerge w:val="continue"/>
                  <w:tcMar>
                    <w:left w:w="0" w:type="dxa"/>
                    <w:right w:w="0" w:type="dxa"/>
                  </w:tcMar>
                  <w:vAlign w:val="center"/>
                </w:tcPr>
                <w:p w14:paraId="379F746D">
                  <w:pPr>
                    <w:adjustRightInd w:val="0"/>
                    <w:snapToGrid w:val="0"/>
                    <w:jc w:val="center"/>
                    <w:rPr>
                      <w:szCs w:val="21"/>
                    </w:rPr>
                  </w:pPr>
                </w:p>
              </w:tc>
              <w:tc>
                <w:tcPr>
                  <w:tcW w:w="1580" w:type="pct"/>
                  <w:vAlign w:val="center"/>
                </w:tcPr>
                <w:p w14:paraId="7B424AAB">
                  <w:pPr>
                    <w:adjustRightInd w:val="0"/>
                    <w:snapToGrid w:val="0"/>
                    <w:jc w:val="center"/>
                    <w:rPr>
                      <w:szCs w:val="21"/>
                    </w:rPr>
                  </w:pPr>
                  <w:r>
                    <w:rPr>
                      <w:rFonts w:hint="eastAsia"/>
                      <w:szCs w:val="21"/>
                    </w:rPr>
                    <w:t>废油桶</w:t>
                  </w:r>
                </w:p>
              </w:tc>
              <w:tc>
                <w:tcPr>
                  <w:tcW w:w="2330" w:type="pct"/>
                  <w:gridSpan w:val="2"/>
                  <w:vMerge w:val="continue"/>
                  <w:vAlign w:val="center"/>
                </w:tcPr>
                <w:p w14:paraId="3937707E">
                  <w:pPr>
                    <w:adjustRightInd w:val="0"/>
                    <w:snapToGrid w:val="0"/>
                    <w:jc w:val="center"/>
                    <w:rPr>
                      <w:szCs w:val="21"/>
                    </w:rPr>
                  </w:pPr>
                </w:p>
              </w:tc>
            </w:tr>
            <w:tr w14:paraId="10629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vMerge w:val="continue"/>
                  <w:tcMar>
                    <w:left w:w="0" w:type="dxa"/>
                    <w:right w:w="0" w:type="dxa"/>
                  </w:tcMar>
                  <w:vAlign w:val="center"/>
                </w:tcPr>
                <w:p w14:paraId="131A94F0">
                  <w:pPr>
                    <w:adjustRightInd w:val="0"/>
                    <w:snapToGrid w:val="0"/>
                    <w:jc w:val="center"/>
                    <w:rPr>
                      <w:szCs w:val="21"/>
                    </w:rPr>
                  </w:pPr>
                </w:p>
              </w:tc>
              <w:tc>
                <w:tcPr>
                  <w:tcW w:w="720" w:type="pct"/>
                  <w:vMerge w:val="continue"/>
                  <w:tcMar>
                    <w:left w:w="0" w:type="dxa"/>
                    <w:right w:w="0" w:type="dxa"/>
                  </w:tcMar>
                  <w:vAlign w:val="center"/>
                </w:tcPr>
                <w:p w14:paraId="7DD078DA">
                  <w:pPr>
                    <w:adjustRightInd w:val="0"/>
                    <w:snapToGrid w:val="0"/>
                    <w:jc w:val="center"/>
                    <w:rPr>
                      <w:szCs w:val="21"/>
                    </w:rPr>
                  </w:pPr>
                </w:p>
              </w:tc>
              <w:tc>
                <w:tcPr>
                  <w:tcW w:w="1580" w:type="pct"/>
                  <w:vAlign w:val="center"/>
                </w:tcPr>
                <w:p w14:paraId="41B92FD7">
                  <w:pPr>
                    <w:adjustRightInd w:val="0"/>
                    <w:snapToGrid w:val="0"/>
                    <w:jc w:val="center"/>
                    <w:rPr>
                      <w:szCs w:val="21"/>
                    </w:rPr>
                  </w:pPr>
                  <w:r>
                    <w:rPr>
                      <w:rFonts w:hint="eastAsia"/>
                      <w:szCs w:val="21"/>
                    </w:rPr>
                    <w:t>含油手套、棉纱</w:t>
                  </w:r>
                </w:p>
              </w:tc>
              <w:tc>
                <w:tcPr>
                  <w:tcW w:w="2330" w:type="pct"/>
                  <w:gridSpan w:val="2"/>
                  <w:vMerge w:val="continue"/>
                  <w:vAlign w:val="center"/>
                </w:tcPr>
                <w:p w14:paraId="786D33A1">
                  <w:pPr>
                    <w:adjustRightInd w:val="0"/>
                    <w:snapToGrid w:val="0"/>
                    <w:jc w:val="center"/>
                    <w:rPr>
                      <w:szCs w:val="21"/>
                    </w:rPr>
                  </w:pPr>
                </w:p>
              </w:tc>
            </w:tr>
            <w:tr w14:paraId="6F5F1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 w:type="pct"/>
                  <w:tcMar>
                    <w:left w:w="0" w:type="dxa"/>
                    <w:right w:w="0" w:type="dxa"/>
                  </w:tcMar>
                  <w:vAlign w:val="center"/>
                </w:tcPr>
                <w:p w14:paraId="30444B9A">
                  <w:pPr>
                    <w:adjustRightInd w:val="0"/>
                    <w:snapToGrid w:val="0"/>
                    <w:jc w:val="center"/>
                    <w:rPr>
                      <w:szCs w:val="21"/>
                    </w:rPr>
                  </w:pPr>
                  <w:r>
                    <w:rPr>
                      <w:rFonts w:hint="eastAsia"/>
                      <w:szCs w:val="21"/>
                    </w:rPr>
                    <w:t>噪声</w:t>
                  </w:r>
                </w:p>
              </w:tc>
              <w:tc>
                <w:tcPr>
                  <w:tcW w:w="720" w:type="pct"/>
                  <w:tcMar>
                    <w:left w:w="0" w:type="dxa"/>
                    <w:right w:w="0" w:type="dxa"/>
                  </w:tcMar>
                  <w:vAlign w:val="center"/>
                </w:tcPr>
                <w:p w14:paraId="47152BCF">
                  <w:pPr>
                    <w:adjustRightInd w:val="0"/>
                    <w:snapToGrid w:val="0"/>
                    <w:jc w:val="center"/>
                    <w:rPr>
                      <w:szCs w:val="21"/>
                    </w:rPr>
                  </w:pPr>
                  <w:r>
                    <w:rPr>
                      <w:rFonts w:hint="eastAsia"/>
                      <w:szCs w:val="21"/>
                    </w:rPr>
                    <w:t>N</w:t>
                  </w:r>
                </w:p>
              </w:tc>
              <w:tc>
                <w:tcPr>
                  <w:tcW w:w="1580" w:type="pct"/>
                  <w:vAlign w:val="center"/>
                </w:tcPr>
                <w:p w14:paraId="123E8E60">
                  <w:pPr>
                    <w:adjustRightInd w:val="0"/>
                    <w:snapToGrid w:val="0"/>
                    <w:jc w:val="center"/>
                    <w:rPr>
                      <w:szCs w:val="21"/>
                    </w:rPr>
                  </w:pPr>
                  <w:r>
                    <w:rPr>
                      <w:rFonts w:hint="eastAsia"/>
                      <w:szCs w:val="21"/>
                    </w:rPr>
                    <w:t>各类设备</w:t>
                  </w:r>
                </w:p>
              </w:tc>
              <w:tc>
                <w:tcPr>
                  <w:tcW w:w="2330" w:type="pct"/>
                  <w:gridSpan w:val="2"/>
                  <w:vAlign w:val="center"/>
                </w:tcPr>
                <w:p w14:paraId="04E8BB1E">
                  <w:pPr>
                    <w:adjustRightInd w:val="0"/>
                    <w:snapToGrid w:val="0"/>
                    <w:jc w:val="center"/>
                    <w:rPr>
                      <w:szCs w:val="21"/>
                    </w:rPr>
                  </w:pPr>
                  <w:r>
                    <w:rPr>
                      <w:rFonts w:hint="eastAsia"/>
                      <w:szCs w:val="21"/>
                    </w:rPr>
                    <w:t>采用低躁设备、基础抗震、隔声减震、厂房隔声等措施。</w:t>
                  </w:r>
                </w:p>
              </w:tc>
            </w:tr>
          </w:tbl>
          <w:p w14:paraId="2D17CE00">
            <w:pPr>
              <w:pStyle w:val="552"/>
              <w:ind w:firstLine="0" w:firstLineChars="0"/>
              <w:rPr>
                <w:sz w:val="24"/>
              </w:rPr>
            </w:pPr>
          </w:p>
        </w:tc>
      </w:tr>
      <w:tr w14:paraId="1C455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23" w:type="dxa"/>
            <w:vAlign w:val="center"/>
          </w:tcPr>
          <w:p w14:paraId="01ACB59D">
            <w:pPr>
              <w:pStyle w:val="34"/>
              <w:adjustRightInd w:val="0"/>
              <w:snapToGrid w:val="0"/>
              <w:spacing w:before="0" w:beforeAutospacing="0" w:after="0" w:afterAutospacing="0"/>
              <w:jc w:val="center"/>
              <w:rPr>
                <w:rFonts w:hint="eastAsia" w:cs="宋体"/>
                <w:sz w:val="21"/>
                <w:szCs w:val="21"/>
              </w:rPr>
            </w:pPr>
            <w:r>
              <w:rPr>
                <w:rFonts w:hint="eastAsia" w:cs="宋体"/>
                <w:bCs/>
                <w:kern w:val="2"/>
                <w:sz w:val="21"/>
                <w:szCs w:val="21"/>
              </w:rPr>
              <w:t>与项目有关的原有环境问题</w:t>
            </w:r>
          </w:p>
        </w:tc>
        <w:tc>
          <w:tcPr>
            <w:tcW w:w="8301" w:type="dxa"/>
            <w:vAlign w:val="center"/>
          </w:tcPr>
          <w:p w14:paraId="59BFECAD">
            <w:pPr>
              <w:pStyle w:val="550"/>
              <w:ind w:firstLine="480"/>
              <w:rPr>
                <w:bCs/>
                <w:sz w:val="24"/>
              </w:rPr>
            </w:pPr>
            <w:r>
              <w:rPr>
                <w:rFonts w:hint="eastAsia"/>
                <w:bCs/>
                <w:sz w:val="24"/>
              </w:rPr>
              <w:t>本项目租用呼家湾村其他草地，原有土地利用类型为其他草地。经现场踏勘调查，该地块范围内未从事过其他工业生产，不存在与本项目污染有关的环境问题。</w:t>
            </w:r>
          </w:p>
          <w:p w14:paraId="32E77BDF">
            <w:pPr>
              <w:spacing w:line="360" w:lineRule="auto"/>
            </w:pPr>
          </w:p>
          <w:p w14:paraId="7587EE61">
            <w:pPr>
              <w:spacing w:line="360" w:lineRule="auto"/>
            </w:pPr>
          </w:p>
          <w:p w14:paraId="25F20AF6">
            <w:pPr>
              <w:spacing w:line="360" w:lineRule="auto"/>
            </w:pPr>
          </w:p>
          <w:p w14:paraId="7382D6A3">
            <w:pPr>
              <w:spacing w:line="360" w:lineRule="auto"/>
            </w:pPr>
          </w:p>
          <w:p w14:paraId="781A0413">
            <w:pPr>
              <w:spacing w:line="360" w:lineRule="auto"/>
            </w:pPr>
          </w:p>
          <w:p w14:paraId="775C2019">
            <w:pPr>
              <w:spacing w:line="360" w:lineRule="auto"/>
            </w:pPr>
          </w:p>
          <w:p w14:paraId="5041180B">
            <w:pPr>
              <w:spacing w:line="360" w:lineRule="auto"/>
            </w:pPr>
          </w:p>
          <w:p w14:paraId="7AD07F51">
            <w:pPr>
              <w:spacing w:line="360" w:lineRule="auto"/>
            </w:pPr>
          </w:p>
          <w:p w14:paraId="78ACC0AD">
            <w:pPr>
              <w:spacing w:line="360" w:lineRule="auto"/>
            </w:pPr>
          </w:p>
          <w:p w14:paraId="1D566FBA">
            <w:pPr>
              <w:spacing w:line="360" w:lineRule="auto"/>
            </w:pPr>
          </w:p>
          <w:p w14:paraId="172A636E">
            <w:pPr>
              <w:spacing w:line="360" w:lineRule="auto"/>
            </w:pPr>
          </w:p>
          <w:p w14:paraId="7C129272">
            <w:pPr>
              <w:spacing w:line="360" w:lineRule="auto"/>
            </w:pPr>
          </w:p>
          <w:p w14:paraId="682852B9">
            <w:pPr>
              <w:spacing w:line="360" w:lineRule="auto"/>
            </w:pPr>
          </w:p>
          <w:p w14:paraId="0FDA8A59">
            <w:pPr>
              <w:spacing w:line="360" w:lineRule="auto"/>
            </w:pPr>
          </w:p>
          <w:p w14:paraId="7AD0ED4E">
            <w:pPr>
              <w:spacing w:line="360" w:lineRule="auto"/>
            </w:pPr>
          </w:p>
          <w:p w14:paraId="3C2CC318">
            <w:pPr>
              <w:spacing w:line="360" w:lineRule="auto"/>
            </w:pPr>
          </w:p>
        </w:tc>
      </w:tr>
    </w:tbl>
    <w:p w14:paraId="709D3DDE">
      <w:pPr>
        <w:pStyle w:val="34"/>
        <w:jc w:val="center"/>
        <w:rPr>
          <w:rFonts w:hint="eastAsia" w:ascii="黑体" w:hAnsi="黑体" w:eastAsia="黑体"/>
          <w:snapToGrid w:val="0"/>
          <w:sz w:val="36"/>
          <w:szCs w:val="36"/>
        </w:rPr>
        <w:sectPr>
          <w:pgSz w:w="11906" w:h="16838"/>
          <w:pgMar w:top="1701" w:right="1531" w:bottom="1701" w:left="1531" w:header="851" w:footer="851" w:gutter="0"/>
          <w:pgNumType w:fmt="numberInDash"/>
          <w:cols w:space="720" w:num="1"/>
          <w:docGrid w:linePitch="312" w:charSpace="0"/>
        </w:sectPr>
      </w:pP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450"/>
      </w:tblGrid>
      <w:tr w14:paraId="41E73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294" w:type="pct"/>
            <w:vAlign w:val="center"/>
          </w:tcPr>
          <w:p w14:paraId="67E273BF">
            <w:pPr>
              <w:pStyle w:val="34"/>
              <w:adjustRightInd w:val="0"/>
              <w:snapToGrid w:val="0"/>
              <w:spacing w:before="0" w:beforeAutospacing="0" w:after="0" w:afterAutospacing="0"/>
              <w:jc w:val="center"/>
              <w:rPr>
                <w:rFonts w:hint="eastAsia" w:cs="宋体"/>
                <w:bCs/>
                <w:kern w:val="2"/>
                <w:sz w:val="21"/>
                <w:szCs w:val="21"/>
              </w:rPr>
            </w:pPr>
            <w:r>
              <w:rPr>
                <w:rFonts w:hint="eastAsia" w:cs="宋体"/>
                <w:sz w:val="21"/>
                <w:szCs w:val="21"/>
              </w:rPr>
              <w:t>工艺流程和产排污环节</w:t>
            </w:r>
          </w:p>
        </w:tc>
        <w:tc>
          <w:tcPr>
            <w:tcW w:w="4706" w:type="pct"/>
          </w:tcPr>
          <w:p w14:paraId="757F54D4">
            <w:pPr>
              <w:adjustRightInd w:val="0"/>
              <w:snapToGrid w:val="0"/>
              <w:jc w:val="center"/>
            </w:pPr>
          </w:p>
          <w:p w14:paraId="30E63F2E">
            <w:pPr>
              <w:adjustRightInd w:val="0"/>
              <w:snapToGrid w:val="0"/>
              <w:jc w:val="center"/>
            </w:pPr>
          </w:p>
          <w:p w14:paraId="0C128C6C">
            <w:pPr>
              <w:adjustRightInd w:val="0"/>
              <w:snapToGrid w:val="0"/>
              <w:jc w:val="center"/>
            </w:pPr>
          </w:p>
          <w:p w14:paraId="3EA1D45D">
            <w:pPr>
              <w:adjustRightInd w:val="0"/>
              <w:snapToGrid w:val="0"/>
              <w:jc w:val="center"/>
            </w:pPr>
            <w:r>
              <w:drawing>
                <wp:inline distT="0" distB="0" distL="0" distR="0">
                  <wp:extent cx="7432040" cy="4591050"/>
                  <wp:effectExtent l="0" t="0" r="0" b="0"/>
                  <wp:docPr id="7068752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75228" name="图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38548" cy="4594958"/>
                          </a:xfrm>
                          <a:prstGeom prst="rect">
                            <a:avLst/>
                          </a:prstGeom>
                        </pic:spPr>
                      </pic:pic>
                    </a:graphicData>
                  </a:graphic>
                </wp:inline>
              </w:drawing>
            </w:r>
          </w:p>
          <w:p w14:paraId="615CD86A">
            <w:pPr>
              <w:adjustRightInd w:val="0"/>
              <w:snapToGrid w:val="0"/>
              <w:spacing w:before="120" w:beforeLines="50" w:line="360" w:lineRule="auto"/>
              <w:jc w:val="center"/>
              <w:rPr>
                <w:b/>
                <w:bCs/>
                <w:color w:val="000000"/>
                <w:szCs w:val="21"/>
              </w:rPr>
            </w:pPr>
            <w:r>
              <w:rPr>
                <w:b/>
                <w:bCs/>
                <w:kern w:val="0"/>
                <w:szCs w:val="21"/>
                <w:lang w:bidi="ar"/>
              </w:rPr>
              <w:t xml:space="preserve">图2-3  </w:t>
            </w:r>
            <w:r>
              <w:rPr>
                <w:rFonts w:hint="eastAsia"/>
                <w:b/>
                <w:bCs/>
                <w:kern w:val="0"/>
                <w:szCs w:val="21"/>
                <w:lang w:bidi="ar"/>
              </w:rPr>
              <w:t>本项目</w:t>
            </w:r>
            <w:r>
              <w:rPr>
                <w:b/>
                <w:bCs/>
                <w:kern w:val="0"/>
                <w:szCs w:val="21"/>
                <w:lang w:bidi="ar"/>
              </w:rPr>
              <w:t>工艺流程和产污环节图</w:t>
            </w:r>
          </w:p>
        </w:tc>
      </w:tr>
    </w:tbl>
    <w:p w14:paraId="1E96C650">
      <w:pPr>
        <w:pStyle w:val="34"/>
        <w:jc w:val="center"/>
        <w:outlineLvl w:val="0"/>
        <w:rPr>
          <w:rFonts w:hint="eastAsia" w:ascii="黑体" w:hAnsi="黑体" w:eastAsia="黑体"/>
          <w:snapToGrid w:val="0"/>
          <w:sz w:val="30"/>
          <w:szCs w:val="30"/>
        </w:rPr>
        <w:sectPr>
          <w:pgSz w:w="16840" w:h="11907" w:orient="landscape"/>
          <w:pgMar w:top="1531" w:right="1701" w:bottom="1531" w:left="2127" w:header="851" w:footer="851" w:gutter="0"/>
          <w:pgNumType w:fmt="numberInDash"/>
          <w:cols w:space="720" w:num="1"/>
          <w:docGrid w:linePitch="312" w:charSpace="0"/>
        </w:sectPr>
      </w:pPr>
    </w:p>
    <w:p w14:paraId="136F5CED">
      <w:pPr>
        <w:pStyle w:val="34"/>
        <w:jc w:val="center"/>
        <w:outlineLvl w:val="0"/>
        <w:rPr>
          <w:rFonts w:hint="eastAsia"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5"/>
      </w:tblGrid>
      <w:tr w14:paraId="68374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236" w:type="dxa"/>
            <w:vAlign w:val="center"/>
          </w:tcPr>
          <w:p w14:paraId="324CB376">
            <w:pPr>
              <w:adjustRightInd w:val="0"/>
              <w:snapToGrid w:val="0"/>
              <w:jc w:val="center"/>
              <w:rPr>
                <w:rFonts w:hint="eastAsia" w:ascii="宋体" w:hAnsi="宋体" w:cs="宋体"/>
                <w:kern w:val="0"/>
                <w:sz w:val="24"/>
              </w:rPr>
            </w:pPr>
            <w:r>
              <w:rPr>
                <w:rFonts w:hint="eastAsia" w:ascii="宋体" w:hAnsi="宋体" w:cs="宋体"/>
                <w:kern w:val="0"/>
                <w:sz w:val="24"/>
              </w:rPr>
              <w:t>区域环境质量现状</w:t>
            </w:r>
          </w:p>
        </w:tc>
        <w:tc>
          <w:tcPr>
            <w:tcW w:w="8754" w:type="dxa"/>
            <w:vAlign w:val="center"/>
          </w:tcPr>
          <w:p w14:paraId="438D74A8">
            <w:pPr>
              <w:spacing w:line="360" w:lineRule="auto"/>
              <w:jc w:val="left"/>
              <w:rPr>
                <w:b/>
                <w:bCs/>
                <w:sz w:val="24"/>
                <w:szCs w:val="21"/>
              </w:rPr>
            </w:pPr>
            <w:r>
              <w:rPr>
                <w:b/>
                <w:bCs/>
                <w:sz w:val="24"/>
                <w:szCs w:val="21"/>
              </w:rPr>
              <w:t>3.1 大气质量现状</w:t>
            </w:r>
          </w:p>
          <w:p w14:paraId="24C1331D">
            <w:pPr>
              <w:spacing w:line="360" w:lineRule="auto"/>
              <w:jc w:val="left"/>
              <w:rPr>
                <w:b/>
                <w:bCs/>
                <w:sz w:val="24"/>
                <w:szCs w:val="21"/>
              </w:rPr>
            </w:pPr>
            <w:r>
              <w:rPr>
                <w:b/>
                <w:bCs/>
                <w:sz w:val="24"/>
                <w:szCs w:val="21"/>
              </w:rPr>
              <w:t>3.1.1</w:t>
            </w:r>
            <w:r>
              <w:rPr>
                <w:rFonts w:hint="eastAsia"/>
                <w:b/>
                <w:bCs/>
                <w:sz w:val="24"/>
                <w:szCs w:val="21"/>
              </w:rPr>
              <w:t>区域环境空气质量现状</w:t>
            </w:r>
          </w:p>
          <w:p w14:paraId="22D2B076">
            <w:pPr>
              <w:widowControl/>
              <w:spacing w:line="360" w:lineRule="auto"/>
              <w:ind w:firstLine="480" w:firstLineChars="200"/>
              <w:rPr>
                <w:sz w:val="24"/>
                <w:szCs w:val="21"/>
              </w:rPr>
            </w:pPr>
            <w:bookmarkStart w:id="12" w:name="_Hlk130227103"/>
            <w:r>
              <w:rPr>
                <w:sz w:val="24"/>
                <w:szCs w:val="21"/>
              </w:rPr>
              <w:t>评价</w:t>
            </w:r>
            <w:r>
              <w:rPr>
                <w:rFonts w:hint="eastAsia"/>
                <w:sz w:val="24"/>
                <w:szCs w:val="21"/>
              </w:rPr>
              <w:t>收集了吕梁市方山县</w:t>
            </w:r>
            <w:r>
              <w:rPr>
                <w:sz w:val="24"/>
              </w:rPr>
              <w:t>2023年的</w:t>
            </w:r>
            <w:r>
              <w:rPr>
                <w:rFonts w:hint="eastAsia"/>
                <w:sz w:val="24"/>
              </w:rPr>
              <w:t>空气质量</w:t>
            </w:r>
            <w:r>
              <w:rPr>
                <w:sz w:val="24"/>
              </w:rPr>
              <w:t>例行监测数据，</w:t>
            </w:r>
            <w:r>
              <w:rPr>
                <w:rFonts w:hint="eastAsia"/>
                <w:sz w:val="24"/>
              </w:rPr>
              <w:t>监测数据见表</w:t>
            </w:r>
            <w:r>
              <w:rPr>
                <w:sz w:val="24"/>
              </w:rPr>
              <w:t>3-1</w:t>
            </w:r>
            <w:r>
              <w:rPr>
                <w:rFonts w:hint="eastAsia"/>
                <w:sz w:val="24"/>
              </w:rPr>
              <w:t>。</w:t>
            </w:r>
          </w:p>
          <w:p w14:paraId="07C858F1">
            <w:pPr>
              <w:spacing w:line="360" w:lineRule="auto"/>
              <w:jc w:val="center"/>
              <w:rPr>
                <w:b/>
                <w:bCs/>
                <w:kern w:val="0"/>
                <w:szCs w:val="21"/>
                <w:lang w:bidi="ar"/>
              </w:rPr>
            </w:pPr>
            <w:r>
              <w:rPr>
                <w:b/>
                <w:bCs/>
                <w:kern w:val="0"/>
                <w:szCs w:val="21"/>
                <w:lang w:bidi="ar"/>
              </w:rPr>
              <w:t>表3-1  202</w:t>
            </w:r>
            <w:r>
              <w:rPr>
                <w:rFonts w:hint="eastAsia"/>
                <w:b/>
                <w:bCs/>
                <w:kern w:val="0"/>
                <w:szCs w:val="21"/>
                <w:lang w:bidi="ar"/>
              </w:rPr>
              <w:t>3</w:t>
            </w:r>
            <w:r>
              <w:rPr>
                <w:b/>
                <w:bCs/>
                <w:kern w:val="0"/>
                <w:szCs w:val="21"/>
                <w:lang w:bidi="ar"/>
              </w:rPr>
              <w:t>年吕梁市</w:t>
            </w:r>
            <w:r>
              <w:rPr>
                <w:rFonts w:hint="eastAsia"/>
                <w:b/>
                <w:bCs/>
                <w:kern w:val="0"/>
                <w:szCs w:val="21"/>
                <w:lang w:bidi="ar"/>
              </w:rPr>
              <w:t>方山</w:t>
            </w:r>
            <w:r>
              <w:rPr>
                <w:b/>
                <w:bCs/>
                <w:kern w:val="0"/>
                <w:szCs w:val="21"/>
                <w:lang w:bidi="ar"/>
              </w:rPr>
              <w:t>县</w:t>
            </w:r>
            <w:r>
              <w:rPr>
                <w:rFonts w:hint="eastAsia"/>
                <w:b/>
                <w:bCs/>
                <w:kern w:val="0"/>
                <w:szCs w:val="21"/>
                <w:lang w:bidi="ar"/>
              </w:rPr>
              <w:t>环境空气质量情况</w:t>
            </w:r>
            <w:r>
              <w:rPr>
                <w:b/>
                <w:bCs/>
                <w:kern w:val="0"/>
                <w:szCs w:val="21"/>
                <w:lang w:bidi="ar"/>
              </w:rPr>
              <w:t>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62"/>
              <w:gridCol w:w="908"/>
              <w:gridCol w:w="1137"/>
              <w:gridCol w:w="1338"/>
              <w:gridCol w:w="1338"/>
              <w:gridCol w:w="1138"/>
              <w:gridCol w:w="1138"/>
            </w:tblGrid>
            <w:tr w14:paraId="0107C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62" w:type="dxa"/>
                  <w:vAlign w:val="center"/>
                </w:tcPr>
                <w:p w14:paraId="2C08C043">
                  <w:pPr>
                    <w:adjustRightInd w:val="0"/>
                    <w:snapToGrid w:val="0"/>
                    <w:jc w:val="center"/>
                    <w:rPr>
                      <w:szCs w:val="21"/>
                    </w:rPr>
                  </w:pPr>
                  <w:r>
                    <w:rPr>
                      <w:szCs w:val="21"/>
                    </w:rPr>
                    <w:t>名称</w:t>
                  </w:r>
                </w:p>
              </w:tc>
              <w:tc>
                <w:tcPr>
                  <w:tcW w:w="908" w:type="dxa"/>
                  <w:vAlign w:val="center"/>
                </w:tcPr>
                <w:p w14:paraId="66C49258">
                  <w:pPr>
                    <w:adjustRightInd w:val="0"/>
                    <w:snapToGrid w:val="0"/>
                    <w:jc w:val="center"/>
                    <w:rPr>
                      <w:szCs w:val="21"/>
                    </w:rPr>
                  </w:pPr>
                  <w:r>
                    <w:rPr>
                      <w:szCs w:val="21"/>
                    </w:rPr>
                    <w:t>SO</w:t>
                  </w:r>
                  <w:r>
                    <w:rPr>
                      <w:szCs w:val="21"/>
                      <w:vertAlign w:val="subscript"/>
                    </w:rPr>
                    <w:t>2</w:t>
                  </w:r>
                </w:p>
              </w:tc>
              <w:tc>
                <w:tcPr>
                  <w:tcW w:w="1137" w:type="dxa"/>
                  <w:vAlign w:val="center"/>
                </w:tcPr>
                <w:p w14:paraId="1E2F292A">
                  <w:pPr>
                    <w:adjustRightInd w:val="0"/>
                    <w:snapToGrid w:val="0"/>
                    <w:jc w:val="center"/>
                    <w:rPr>
                      <w:szCs w:val="21"/>
                    </w:rPr>
                  </w:pPr>
                  <w:r>
                    <w:rPr>
                      <w:szCs w:val="21"/>
                    </w:rPr>
                    <w:t>NO</w:t>
                  </w:r>
                  <w:r>
                    <w:rPr>
                      <w:szCs w:val="21"/>
                      <w:vertAlign w:val="subscript"/>
                    </w:rPr>
                    <w:t>2</w:t>
                  </w:r>
                </w:p>
              </w:tc>
              <w:tc>
                <w:tcPr>
                  <w:tcW w:w="1338" w:type="dxa"/>
                  <w:vAlign w:val="center"/>
                </w:tcPr>
                <w:p w14:paraId="124AF904">
                  <w:pPr>
                    <w:adjustRightInd w:val="0"/>
                    <w:snapToGrid w:val="0"/>
                    <w:jc w:val="center"/>
                    <w:rPr>
                      <w:szCs w:val="21"/>
                    </w:rPr>
                  </w:pPr>
                  <w:r>
                    <w:rPr>
                      <w:szCs w:val="21"/>
                    </w:rPr>
                    <w:t>PM</w:t>
                  </w:r>
                  <w:r>
                    <w:rPr>
                      <w:szCs w:val="21"/>
                      <w:vertAlign w:val="subscript"/>
                    </w:rPr>
                    <w:t>10</w:t>
                  </w:r>
                </w:p>
              </w:tc>
              <w:tc>
                <w:tcPr>
                  <w:tcW w:w="1338" w:type="dxa"/>
                  <w:vAlign w:val="center"/>
                </w:tcPr>
                <w:p w14:paraId="613FD03D">
                  <w:pPr>
                    <w:adjustRightInd w:val="0"/>
                    <w:snapToGrid w:val="0"/>
                    <w:jc w:val="center"/>
                    <w:rPr>
                      <w:szCs w:val="21"/>
                    </w:rPr>
                  </w:pPr>
                  <w:r>
                    <w:rPr>
                      <w:szCs w:val="21"/>
                    </w:rPr>
                    <w:t>PM</w:t>
                  </w:r>
                  <w:r>
                    <w:rPr>
                      <w:szCs w:val="21"/>
                      <w:vertAlign w:val="subscript"/>
                    </w:rPr>
                    <w:t>2.5</w:t>
                  </w:r>
                </w:p>
              </w:tc>
              <w:tc>
                <w:tcPr>
                  <w:tcW w:w="1138" w:type="dxa"/>
                  <w:vAlign w:val="center"/>
                </w:tcPr>
                <w:p w14:paraId="6824A06E">
                  <w:pPr>
                    <w:adjustRightInd w:val="0"/>
                    <w:snapToGrid w:val="0"/>
                    <w:jc w:val="center"/>
                    <w:rPr>
                      <w:szCs w:val="21"/>
                    </w:rPr>
                  </w:pPr>
                  <w:r>
                    <w:rPr>
                      <w:szCs w:val="21"/>
                    </w:rPr>
                    <w:t>CO</w:t>
                  </w:r>
                </w:p>
              </w:tc>
              <w:tc>
                <w:tcPr>
                  <w:tcW w:w="1138" w:type="dxa"/>
                  <w:vAlign w:val="center"/>
                </w:tcPr>
                <w:p w14:paraId="602B87DB">
                  <w:pPr>
                    <w:adjustRightInd w:val="0"/>
                    <w:snapToGrid w:val="0"/>
                    <w:jc w:val="center"/>
                    <w:rPr>
                      <w:szCs w:val="21"/>
                    </w:rPr>
                  </w:pPr>
                  <w:r>
                    <w:rPr>
                      <w:szCs w:val="21"/>
                    </w:rPr>
                    <w:t>O</w:t>
                  </w:r>
                  <w:r>
                    <w:rPr>
                      <w:szCs w:val="21"/>
                      <w:vertAlign w:val="subscript"/>
                    </w:rPr>
                    <w:t>3</w:t>
                  </w:r>
                </w:p>
              </w:tc>
            </w:tr>
            <w:tr w14:paraId="2E677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62" w:type="dxa"/>
                  <w:vAlign w:val="center"/>
                </w:tcPr>
                <w:p w14:paraId="2329137C">
                  <w:pPr>
                    <w:adjustRightInd w:val="0"/>
                    <w:snapToGrid w:val="0"/>
                    <w:jc w:val="center"/>
                    <w:rPr>
                      <w:szCs w:val="21"/>
                    </w:rPr>
                  </w:pPr>
                  <w:r>
                    <w:rPr>
                      <w:szCs w:val="21"/>
                    </w:rPr>
                    <w:t>单位</w:t>
                  </w:r>
                </w:p>
              </w:tc>
              <w:tc>
                <w:tcPr>
                  <w:tcW w:w="908" w:type="dxa"/>
                  <w:vAlign w:val="center"/>
                </w:tcPr>
                <w:p w14:paraId="79DD3178">
                  <w:pPr>
                    <w:adjustRightInd w:val="0"/>
                    <w:snapToGrid w:val="0"/>
                    <w:jc w:val="center"/>
                    <w:rPr>
                      <w:szCs w:val="21"/>
                    </w:rPr>
                  </w:pPr>
                  <w:r>
                    <w:rPr>
                      <w:szCs w:val="21"/>
                    </w:rPr>
                    <w:t>ug/m</w:t>
                  </w:r>
                  <w:r>
                    <w:rPr>
                      <w:szCs w:val="21"/>
                      <w:vertAlign w:val="superscript"/>
                    </w:rPr>
                    <w:t>3</w:t>
                  </w:r>
                </w:p>
              </w:tc>
              <w:tc>
                <w:tcPr>
                  <w:tcW w:w="1137" w:type="dxa"/>
                  <w:vAlign w:val="center"/>
                </w:tcPr>
                <w:p w14:paraId="35BFC17E">
                  <w:pPr>
                    <w:adjustRightInd w:val="0"/>
                    <w:snapToGrid w:val="0"/>
                    <w:jc w:val="center"/>
                    <w:rPr>
                      <w:szCs w:val="21"/>
                    </w:rPr>
                  </w:pPr>
                  <w:r>
                    <w:rPr>
                      <w:szCs w:val="21"/>
                    </w:rPr>
                    <w:t>ug/m</w:t>
                  </w:r>
                  <w:r>
                    <w:rPr>
                      <w:szCs w:val="21"/>
                      <w:vertAlign w:val="superscript"/>
                    </w:rPr>
                    <w:t>3</w:t>
                  </w:r>
                </w:p>
              </w:tc>
              <w:tc>
                <w:tcPr>
                  <w:tcW w:w="1338" w:type="dxa"/>
                  <w:vAlign w:val="center"/>
                </w:tcPr>
                <w:p w14:paraId="186EC86E">
                  <w:pPr>
                    <w:adjustRightInd w:val="0"/>
                    <w:snapToGrid w:val="0"/>
                    <w:jc w:val="center"/>
                    <w:rPr>
                      <w:szCs w:val="21"/>
                    </w:rPr>
                  </w:pPr>
                  <w:r>
                    <w:rPr>
                      <w:szCs w:val="21"/>
                    </w:rPr>
                    <w:t>ug/m</w:t>
                  </w:r>
                  <w:r>
                    <w:rPr>
                      <w:szCs w:val="21"/>
                      <w:vertAlign w:val="superscript"/>
                    </w:rPr>
                    <w:t>3</w:t>
                  </w:r>
                </w:p>
              </w:tc>
              <w:tc>
                <w:tcPr>
                  <w:tcW w:w="1338" w:type="dxa"/>
                  <w:vAlign w:val="center"/>
                </w:tcPr>
                <w:p w14:paraId="6D0BECA4">
                  <w:pPr>
                    <w:adjustRightInd w:val="0"/>
                    <w:snapToGrid w:val="0"/>
                    <w:jc w:val="center"/>
                    <w:rPr>
                      <w:szCs w:val="21"/>
                    </w:rPr>
                  </w:pPr>
                  <w:r>
                    <w:rPr>
                      <w:szCs w:val="21"/>
                    </w:rPr>
                    <w:t>ug/m</w:t>
                  </w:r>
                  <w:r>
                    <w:rPr>
                      <w:szCs w:val="21"/>
                      <w:vertAlign w:val="superscript"/>
                    </w:rPr>
                    <w:t>3</w:t>
                  </w:r>
                </w:p>
              </w:tc>
              <w:tc>
                <w:tcPr>
                  <w:tcW w:w="1138" w:type="dxa"/>
                  <w:vAlign w:val="center"/>
                </w:tcPr>
                <w:p w14:paraId="7D8230C2">
                  <w:pPr>
                    <w:adjustRightInd w:val="0"/>
                    <w:snapToGrid w:val="0"/>
                    <w:jc w:val="center"/>
                    <w:rPr>
                      <w:szCs w:val="21"/>
                    </w:rPr>
                  </w:pPr>
                  <w:r>
                    <w:rPr>
                      <w:rFonts w:hint="eastAsia"/>
                      <w:szCs w:val="21"/>
                    </w:rPr>
                    <w:t>m</w:t>
                  </w:r>
                  <w:r>
                    <w:rPr>
                      <w:szCs w:val="21"/>
                    </w:rPr>
                    <w:t>g/m</w:t>
                  </w:r>
                  <w:r>
                    <w:rPr>
                      <w:szCs w:val="21"/>
                      <w:vertAlign w:val="superscript"/>
                    </w:rPr>
                    <w:t>3</w:t>
                  </w:r>
                </w:p>
              </w:tc>
              <w:tc>
                <w:tcPr>
                  <w:tcW w:w="1138" w:type="dxa"/>
                  <w:vAlign w:val="center"/>
                </w:tcPr>
                <w:p w14:paraId="069572F3">
                  <w:pPr>
                    <w:adjustRightInd w:val="0"/>
                    <w:snapToGrid w:val="0"/>
                    <w:jc w:val="center"/>
                    <w:rPr>
                      <w:szCs w:val="21"/>
                    </w:rPr>
                  </w:pPr>
                  <w:r>
                    <w:rPr>
                      <w:szCs w:val="21"/>
                    </w:rPr>
                    <w:t>ug/m</w:t>
                  </w:r>
                  <w:r>
                    <w:rPr>
                      <w:szCs w:val="21"/>
                      <w:vertAlign w:val="superscript"/>
                    </w:rPr>
                    <w:t>3</w:t>
                  </w:r>
                </w:p>
              </w:tc>
            </w:tr>
            <w:tr w14:paraId="36BF9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62" w:type="dxa"/>
                  <w:vAlign w:val="center"/>
                </w:tcPr>
                <w:p w14:paraId="52C4A052">
                  <w:pPr>
                    <w:adjustRightInd w:val="0"/>
                    <w:snapToGrid w:val="0"/>
                    <w:jc w:val="center"/>
                    <w:rPr>
                      <w:szCs w:val="21"/>
                    </w:rPr>
                  </w:pPr>
                  <w:r>
                    <w:rPr>
                      <w:rFonts w:hint="eastAsia"/>
                      <w:szCs w:val="21"/>
                    </w:rPr>
                    <w:t>现状浓度</w:t>
                  </w:r>
                </w:p>
              </w:tc>
              <w:tc>
                <w:tcPr>
                  <w:tcW w:w="908" w:type="dxa"/>
                  <w:vAlign w:val="center"/>
                </w:tcPr>
                <w:p w14:paraId="5C47584F">
                  <w:pPr>
                    <w:widowControl/>
                    <w:jc w:val="center"/>
                    <w:rPr>
                      <w:rFonts w:eastAsia="等线"/>
                      <w:color w:val="000000"/>
                      <w:kern w:val="0"/>
                      <w:szCs w:val="21"/>
                    </w:rPr>
                  </w:pPr>
                  <w:r>
                    <w:rPr>
                      <w:rFonts w:eastAsia="等线"/>
                      <w:color w:val="000000"/>
                      <w:szCs w:val="21"/>
                    </w:rPr>
                    <w:t>9</w:t>
                  </w:r>
                </w:p>
              </w:tc>
              <w:tc>
                <w:tcPr>
                  <w:tcW w:w="1137" w:type="dxa"/>
                  <w:vAlign w:val="center"/>
                </w:tcPr>
                <w:p w14:paraId="3813A578">
                  <w:pPr>
                    <w:jc w:val="center"/>
                    <w:rPr>
                      <w:rFonts w:eastAsia="等线"/>
                      <w:color w:val="000000"/>
                      <w:szCs w:val="21"/>
                    </w:rPr>
                  </w:pPr>
                  <w:r>
                    <w:rPr>
                      <w:rFonts w:hint="eastAsia" w:eastAsia="等线"/>
                      <w:color w:val="000000"/>
                      <w:szCs w:val="21"/>
                    </w:rPr>
                    <w:t>22</w:t>
                  </w:r>
                </w:p>
              </w:tc>
              <w:tc>
                <w:tcPr>
                  <w:tcW w:w="1338" w:type="dxa"/>
                  <w:vAlign w:val="center"/>
                </w:tcPr>
                <w:p w14:paraId="64BFAD1B">
                  <w:pPr>
                    <w:jc w:val="center"/>
                    <w:rPr>
                      <w:rFonts w:eastAsia="等线"/>
                      <w:color w:val="000000"/>
                      <w:szCs w:val="21"/>
                    </w:rPr>
                  </w:pPr>
                  <w:r>
                    <w:rPr>
                      <w:rFonts w:hint="eastAsia" w:eastAsia="等线"/>
                      <w:color w:val="000000"/>
                      <w:szCs w:val="21"/>
                    </w:rPr>
                    <w:t>61</w:t>
                  </w:r>
                </w:p>
              </w:tc>
              <w:tc>
                <w:tcPr>
                  <w:tcW w:w="1338" w:type="dxa"/>
                  <w:vAlign w:val="center"/>
                </w:tcPr>
                <w:p w14:paraId="2860CDB6">
                  <w:pPr>
                    <w:jc w:val="center"/>
                    <w:rPr>
                      <w:rFonts w:eastAsia="等线"/>
                      <w:color w:val="000000"/>
                      <w:szCs w:val="21"/>
                    </w:rPr>
                  </w:pPr>
                  <w:r>
                    <w:rPr>
                      <w:rFonts w:hint="eastAsia" w:eastAsia="等线"/>
                      <w:color w:val="000000"/>
                      <w:szCs w:val="21"/>
                    </w:rPr>
                    <w:t>22</w:t>
                  </w:r>
                </w:p>
              </w:tc>
              <w:tc>
                <w:tcPr>
                  <w:tcW w:w="1138" w:type="dxa"/>
                  <w:vAlign w:val="center"/>
                </w:tcPr>
                <w:p w14:paraId="24C07DFC">
                  <w:pPr>
                    <w:jc w:val="center"/>
                    <w:rPr>
                      <w:rFonts w:eastAsia="等线"/>
                      <w:color w:val="000000"/>
                      <w:szCs w:val="21"/>
                    </w:rPr>
                  </w:pPr>
                  <w:r>
                    <w:rPr>
                      <w:rFonts w:eastAsia="等线"/>
                      <w:color w:val="000000"/>
                      <w:szCs w:val="21"/>
                    </w:rPr>
                    <w:t>0.8</w:t>
                  </w:r>
                </w:p>
              </w:tc>
              <w:tc>
                <w:tcPr>
                  <w:tcW w:w="1138" w:type="dxa"/>
                  <w:vAlign w:val="center"/>
                </w:tcPr>
                <w:p w14:paraId="07ADEF3D">
                  <w:pPr>
                    <w:jc w:val="center"/>
                    <w:rPr>
                      <w:rFonts w:eastAsia="等线"/>
                      <w:color w:val="000000"/>
                      <w:szCs w:val="21"/>
                    </w:rPr>
                  </w:pPr>
                  <w:r>
                    <w:rPr>
                      <w:rFonts w:eastAsia="等线"/>
                      <w:color w:val="000000"/>
                      <w:szCs w:val="21"/>
                    </w:rPr>
                    <w:t>150</w:t>
                  </w:r>
                </w:p>
              </w:tc>
            </w:tr>
            <w:tr w14:paraId="5D7BA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62" w:type="dxa"/>
                  <w:vAlign w:val="center"/>
                </w:tcPr>
                <w:p w14:paraId="700DD763">
                  <w:pPr>
                    <w:adjustRightInd w:val="0"/>
                    <w:snapToGrid w:val="0"/>
                    <w:jc w:val="center"/>
                    <w:rPr>
                      <w:szCs w:val="21"/>
                    </w:rPr>
                  </w:pPr>
                  <w:r>
                    <w:rPr>
                      <w:rFonts w:hint="eastAsia"/>
                      <w:szCs w:val="21"/>
                    </w:rPr>
                    <w:t>标准值</w:t>
                  </w:r>
                </w:p>
              </w:tc>
              <w:tc>
                <w:tcPr>
                  <w:tcW w:w="908" w:type="dxa"/>
                  <w:vAlign w:val="center"/>
                </w:tcPr>
                <w:p w14:paraId="5E0CE4E1">
                  <w:pPr>
                    <w:adjustRightInd w:val="0"/>
                    <w:snapToGrid w:val="0"/>
                    <w:jc w:val="center"/>
                    <w:rPr>
                      <w:szCs w:val="21"/>
                    </w:rPr>
                  </w:pPr>
                  <w:r>
                    <w:rPr>
                      <w:szCs w:val="21"/>
                    </w:rPr>
                    <w:t>60</w:t>
                  </w:r>
                </w:p>
              </w:tc>
              <w:tc>
                <w:tcPr>
                  <w:tcW w:w="1137" w:type="dxa"/>
                  <w:vAlign w:val="center"/>
                </w:tcPr>
                <w:p w14:paraId="2FB56594">
                  <w:pPr>
                    <w:adjustRightInd w:val="0"/>
                    <w:snapToGrid w:val="0"/>
                    <w:jc w:val="center"/>
                    <w:rPr>
                      <w:szCs w:val="21"/>
                    </w:rPr>
                  </w:pPr>
                  <w:r>
                    <w:rPr>
                      <w:szCs w:val="21"/>
                    </w:rPr>
                    <w:t>40</w:t>
                  </w:r>
                </w:p>
              </w:tc>
              <w:tc>
                <w:tcPr>
                  <w:tcW w:w="1338" w:type="dxa"/>
                  <w:vAlign w:val="center"/>
                </w:tcPr>
                <w:p w14:paraId="5D06B070">
                  <w:pPr>
                    <w:adjustRightInd w:val="0"/>
                    <w:snapToGrid w:val="0"/>
                    <w:jc w:val="center"/>
                    <w:rPr>
                      <w:szCs w:val="21"/>
                    </w:rPr>
                  </w:pPr>
                  <w:r>
                    <w:rPr>
                      <w:szCs w:val="21"/>
                    </w:rPr>
                    <w:t>70</w:t>
                  </w:r>
                </w:p>
              </w:tc>
              <w:tc>
                <w:tcPr>
                  <w:tcW w:w="1338" w:type="dxa"/>
                  <w:vAlign w:val="center"/>
                </w:tcPr>
                <w:p w14:paraId="64AB9213">
                  <w:pPr>
                    <w:adjustRightInd w:val="0"/>
                    <w:snapToGrid w:val="0"/>
                    <w:jc w:val="center"/>
                    <w:rPr>
                      <w:szCs w:val="21"/>
                    </w:rPr>
                  </w:pPr>
                  <w:r>
                    <w:rPr>
                      <w:szCs w:val="21"/>
                    </w:rPr>
                    <w:t>35</w:t>
                  </w:r>
                </w:p>
              </w:tc>
              <w:tc>
                <w:tcPr>
                  <w:tcW w:w="1138" w:type="dxa"/>
                  <w:vAlign w:val="center"/>
                </w:tcPr>
                <w:p w14:paraId="250FD77E">
                  <w:pPr>
                    <w:adjustRightInd w:val="0"/>
                    <w:snapToGrid w:val="0"/>
                    <w:jc w:val="center"/>
                    <w:rPr>
                      <w:szCs w:val="21"/>
                    </w:rPr>
                  </w:pPr>
                  <w:r>
                    <w:rPr>
                      <w:szCs w:val="21"/>
                    </w:rPr>
                    <w:t>4</w:t>
                  </w:r>
                </w:p>
              </w:tc>
              <w:tc>
                <w:tcPr>
                  <w:tcW w:w="1138" w:type="dxa"/>
                  <w:vAlign w:val="center"/>
                </w:tcPr>
                <w:p w14:paraId="6BCAC886">
                  <w:pPr>
                    <w:adjustRightInd w:val="0"/>
                    <w:snapToGrid w:val="0"/>
                    <w:jc w:val="center"/>
                    <w:rPr>
                      <w:szCs w:val="21"/>
                    </w:rPr>
                  </w:pPr>
                  <w:r>
                    <w:rPr>
                      <w:szCs w:val="21"/>
                    </w:rPr>
                    <w:t>160</w:t>
                  </w:r>
                </w:p>
              </w:tc>
            </w:tr>
            <w:tr w14:paraId="34970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62" w:type="dxa"/>
                  <w:vAlign w:val="center"/>
                </w:tcPr>
                <w:p w14:paraId="6CF633D9">
                  <w:pPr>
                    <w:adjustRightInd w:val="0"/>
                    <w:snapToGrid w:val="0"/>
                    <w:jc w:val="center"/>
                    <w:rPr>
                      <w:szCs w:val="21"/>
                    </w:rPr>
                  </w:pPr>
                  <w:r>
                    <w:rPr>
                      <w:rFonts w:hint="eastAsia"/>
                      <w:szCs w:val="21"/>
                    </w:rPr>
                    <w:t>占标率</w:t>
                  </w:r>
                </w:p>
              </w:tc>
              <w:tc>
                <w:tcPr>
                  <w:tcW w:w="908" w:type="dxa"/>
                  <w:vAlign w:val="center"/>
                </w:tcPr>
                <w:p w14:paraId="3C2FEE4A">
                  <w:pPr>
                    <w:adjustRightInd w:val="0"/>
                    <w:snapToGrid w:val="0"/>
                    <w:jc w:val="center"/>
                    <w:rPr>
                      <w:szCs w:val="21"/>
                    </w:rPr>
                  </w:pPr>
                  <w:r>
                    <w:rPr>
                      <w:bCs/>
                      <w:szCs w:val="21"/>
                    </w:rPr>
                    <w:t>15</w:t>
                  </w:r>
                  <w:r>
                    <w:rPr>
                      <w:rFonts w:hint="eastAsia"/>
                      <w:bCs/>
                      <w:szCs w:val="21"/>
                    </w:rPr>
                    <w:t>%</w:t>
                  </w:r>
                </w:p>
              </w:tc>
              <w:tc>
                <w:tcPr>
                  <w:tcW w:w="1137" w:type="dxa"/>
                  <w:vAlign w:val="center"/>
                </w:tcPr>
                <w:p w14:paraId="15D55A70">
                  <w:pPr>
                    <w:adjustRightInd w:val="0"/>
                    <w:snapToGrid w:val="0"/>
                    <w:jc w:val="center"/>
                    <w:rPr>
                      <w:szCs w:val="21"/>
                    </w:rPr>
                  </w:pPr>
                  <w:r>
                    <w:rPr>
                      <w:rFonts w:hint="eastAsia"/>
                      <w:bCs/>
                      <w:szCs w:val="21"/>
                    </w:rPr>
                    <w:t>55%</w:t>
                  </w:r>
                </w:p>
              </w:tc>
              <w:tc>
                <w:tcPr>
                  <w:tcW w:w="1338" w:type="dxa"/>
                  <w:vAlign w:val="center"/>
                </w:tcPr>
                <w:p w14:paraId="34FB2E17">
                  <w:pPr>
                    <w:adjustRightInd w:val="0"/>
                    <w:snapToGrid w:val="0"/>
                    <w:jc w:val="center"/>
                    <w:rPr>
                      <w:szCs w:val="21"/>
                    </w:rPr>
                  </w:pPr>
                  <w:r>
                    <w:rPr>
                      <w:rFonts w:hint="eastAsia"/>
                      <w:bCs/>
                      <w:szCs w:val="21"/>
                    </w:rPr>
                    <w:t>87.14%</w:t>
                  </w:r>
                </w:p>
              </w:tc>
              <w:tc>
                <w:tcPr>
                  <w:tcW w:w="1338" w:type="dxa"/>
                  <w:vAlign w:val="center"/>
                </w:tcPr>
                <w:p w14:paraId="2323F310">
                  <w:pPr>
                    <w:adjustRightInd w:val="0"/>
                    <w:snapToGrid w:val="0"/>
                    <w:jc w:val="center"/>
                    <w:rPr>
                      <w:szCs w:val="21"/>
                    </w:rPr>
                  </w:pPr>
                  <w:r>
                    <w:rPr>
                      <w:rFonts w:hint="eastAsia"/>
                      <w:bCs/>
                      <w:szCs w:val="21"/>
                    </w:rPr>
                    <w:t>62.86%</w:t>
                  </w:r>
                </w:p>
              </w:tc>
              <w:tc>
                <w:tcPr>
                  <w:tcW w:w="1138" w:type="dxa"/>
                  <w:vAlign w:val="center"/>
                </w:tcPr>
                <w:p w14:paraId="353063F6">
                  <w:pPr>
                    <w:adjustRightInd w:val="0"/>
                    <w:snapToGrid w:val="0"/>
                    <w:jc w:val="center"/>
                    <w:rPr>
                      <w:szCs w:val="21"/>
                    </w:rPr>
                  </w:pPr>
                  <w:r>
                    <w:rPr>
                      <w:bCs/>
                      <w:szCs w:val="21"/>
                    </w:rPr>
                    <w:t>20</w:t>
                  </w:r>
                  <w:r>
                    <w:rPr>
                      <w:rFonts w:hint="eastAsia"/>
                      <w:bCs/>
                      <w:szCs w:val="21"/>
                    </w:rPr>
                    <w:t>%</w:t>
                  </w:r>
                </w:p>
              </w:tc>
              <w:tc>
                <w:tcPr>
                  <w:tcW w:w="1138" w:type="dxa"/>
                  <w:vAlign w:val="center"/>
                </w:tcPr>
                <w:p w14:paraId="1C77A238">
                  <w:pPr>
                    <w:adjustRightInd w:val="0"/>
                    <w:snapToGrid w:val="0"/>
                    <w:jc w:val="center"/>
                    <w:rPr>
                      <w:szCs w:val="21"/>
                    </w:rPr>
                  </w:pPr>
                  <w:r>
                    <w:rPr>
                      <w:bCs/>
                      <w:szCs w:val="21"/>
                    </w:rPr>
                    <w:t>93.75</w:t>
                  </w:r>
                  <w:r>
                    <w:rPr>
                      <w:rFonts w:hint="eastAsia"/>
                      <w:bCs/>
                      <w:szCs w:val="21"/>
                    </w:rPr>
                    <w:t>%</w:t>
                  </w:r>
                </w:p>
              </w:tc>
            </w:tr>
            <w:tr w14:paraId="2BA51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62" w:type="dxa"/>
                  <w:vAlign w:val="center"/>
                </w:tcPr>
                <w:p w14:paraId="21F246FC">
                  <w:pPr>
                    <w:adjustRightInd w:val="0"/>
                    <w:snapToGrid w:val="0"/>
                    <w:jc w:val="center"/>
                    <w:rPr>
                      <w:szCs w:val="21"/>
                    </w:rPr>
                  </w:pPr>
                  <w:r>
                    <w:rPr>
                      <w:szCs w:val="21"/>
                    </w:rPr>
                    <w:t>达标情况</w:t>
                  </w:r>
                </w:p>
              </w:tc>
              <w:tc>
                <w:tcPr>
                  <w:tcW w:w="908" w:type="dxa"/>
                  <w:vAlign w:val="center"/>
                </w:tcPr>
                <w:p w14:paraId="6699EA31">
                  <w:pPr>
                    <w:adjustRightInd w:val="0"/>
                    <w:snapToGrid w:val="0"/>
                    <w:jc w:val="center"/>
                    <w:rPr>
                      <w:szCs w:val="21"/>
                    </w:rPr>
                  </w:pPr>
                  <w:r>
                    <w:rPr>
                      <w:szCs w:val="21"/>
                    </w:rPr>
                    <w:t>达标</w:t>
                  </w:r>
                </w:p>
              </w:tc>
              <w:tc>
                <w:tcPr>
                  <w:tcW w:w="1137" w:type="dxa"/>
                  <w:vAlign w:val="center"/>
                </w:tcPr>
                <w:p w14:paraId="39BA3FEE">
                  <w:pPr>
                    <w:adjustRightInd w:val="0"/>
                    <w:snapToGrid w:val="0"/>
                    <w:jc w:val="center"/>
                    <w:rPr>
                      <w:szCs w:val="21"/>
                    </w:rPr>
                  </w:pPr>
                  <w:r>
                    <w:rPr>
                      <w:szCs w:val="21"/>
                    </w:rPr>
                    <w:t>达标</w:t>
                  </w:r>
                </w:p>
              </w:tc>
              <w:tc>
                <w:tcPr>
                  <w:tcW w:w="1338" w:type="dxa"/>
                  <w:vAlign w:val="center"/>
                </w:tcPr>
                <w:p w14:paraId="3933570B">
                  <w:pPr>
                    <w:adjustRightInd w:val="0"/>
                    <w:snapToGrid w:val="0"/>
                    <w:jc w:val="center"/>
                    <w:rPr>
                      <w:szCs w:val="21"/>
                    </w:rPr>
                  </w:pPr>
                  <w:r>
                    <w:rPr>
                      <w:szCs w:val="21"/>
                    </w:rPr>
                    <w:t>达标</w:t>
                  </w:r>
                </w:p>
              </w:tc>
              <w:tc>
                <w:tcPr>
                  <w:tcW w:w="1338" w:type="dxa"/>
                  <w:vAlign w:val="center"/>
                </w:tcPr>
                <w:p w14:paraId="019F02B6">
                  <w:pPr>
                    <w:adjustRightInd w:val="0"/>
                    <w:snapToGrid w:val="0"/>
                    <w:jc w:val="center"/>
                    <w:rPr>
                      <w:szCs w:val="21"/>
                    </w:rPr>
                  </w:pPr>
                  <w:r>
                    <w:rPr>
                      <w:szCs w:val="21"/>
                    </w:rPr>
                    <w:t>达标</w:t>
                  </w:r>
                </w:p>
              </w:tc>
              <w:tc>
                <w:tcPr>
                  <w:tcW w:w="1138" w:type="dxa"/>
                  <w:vAlign w:val="center"/>
                </w:tcPr>
                <w:p w14:paraId="4C37BF0E">
                  <w:pPr>
                    <w:adjustRightInd w:val="0"/>
                    <w:snapToGrid w:val="0"/>
                    <w:jc w:val="center"/>
                    <w:rPr>
                      <w:szCs w:val="21"/>
                    </w:rPr>
                  </w:pPr>
                  <w:r>
                    <w:rPr>
                      <w:szCs w:val="21"/>
                    </w:rPr>
                    <w:t>达标</w:t>
                  </w:r>
                </w:p>
              </w:tc>
              <w:tc>
                <w:tcPr>
                  <w:tcW w:w="1138" w:type="dxa"/>
                  <w:vAlign w:val="center"/>
                </w:tcPr>
                <w:p w14:paraId="11A96C1C">
                  <w:pPr>
                    <w:adjustRightInd w:val="0"/>
                    <w:snapToGrid w:val="0"/>
                    <w:jc w:val="center"/>
                    <w:rPr>
                      <w:szCs w:val="21"/>
                    </w:rPr>
                  </w:pPr>
                  <w:r>
                    <w:rPr>
                      <w:rFonts w:hint="eastAsia"/>
                      <w:szCs w:val="21"/>
                    </w:rPr>
                    <w:t>达标</w:t>
                  </w:r>
                </w:p>
              </w:tc>
            </w:tr>
            <w:tr w14:paraId="20461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359" w:type="dxa"/>
                  <w:gridSpan w:val="7"/>
                  <w:vAlign w:val="center"/>
                </w:tcPr>
                <w:p w14:paraId="782E38CD">
                  <w:pPr>
                    <w:adjustRightInd w:val="0"/>
                    <w:snapToGrid w:val="0"/>
                    <w:rPr>
                      <w:szCs w:val="21"/>
                    </w:rPr>
                  </w:pPr>
                  <w:r>
                    <w:rPr>
                      <w:spacing w:val="40"/>
                      <w:szCs w:val="21"/>
                    </w:rPr>
                    <w:t>备注：</w:t>
                  </w:r>
                  <w:r>
                    <w:rPr>
                      <w:spacing w:val="40"/>
                      <w:szCs w:val="21"/>
                    </w:rPr>
                    <w:fldChar w:fldCharType="begin"/>
                  </w:r>
                  <w:r>
                    <w:rPr>
                      <w:spacing w:val="40"/>
                      <w:szCs w:val="21"/>
                    </w:rPr>
                    <w:instrText xml:space="preserve"> = 1 \* GB3 </w:instrText>
                  </w:r>
                  <w:r>
                    <w:rPr>
                      <w:spacing w:val="40"/>
                      <w:szCs w:val="21"/>
                    </w:rPr>
                    <w:fldChar w:fldCharType="separate"/>
                  </w:r>
                  <w:r>
                    <w:rPr>
                      <w:rFonts w:hint="eastAsia" w:ascii="宋体" w:hAnsi="宋体" w:cs="宋体"/>
                      <w:spacing w:val="40"/>
                      <w:szCs w:val="21"/>
                    </w:rPr>
                    <w:t>①</w:t>
                  </w:r>
                  <w:r>
                    <w:rPr>
                      <w:spacing w:val="40"/>
                      <w:szCs w:val="21"/>
                    </w:rPr>
                    <w:fldChar w:fldCharType="end"/>
                  </w:r>
                  <w:r>
                    <w:rPr>
                      <w:spacing w:val="40"/>
                      <w:szCs w:val="21"/>
                    </w:rPr>
                    <w:t>标准值中PM</w:t>
                  </w:r>
                  <w:r>
                    <w:rPr>
                      <w:spacing w:val="40"/>
                      <w:szCs w:val="21"/>
                      <w:vertAlign w:val="subscript"/>
                    </w:rPr>
                    <w:t>10</w:t>
                  </w:r>
                  <w:r>
                    <w:rPr>
                      <w:spacing w:val="40"/>
                      <w:szCs w:val="21"/>
                    </w:rPr>
                    <w:t>、PM</w:t>
                  </w:r>
                  <w:r>
                    <w:rPr>
                      <w:spacing w:val="40"/>
                      <w:szCs w:val="21"/>
                      <w:vertAlign w:val="subscript"/>
                    </w:rPr>
                    <w:t>2.5</w:t>
                  </w:r>
                  <w:r>
                    <w:rPr>
                      <w:spacing w:val="40"/>
                      <w:szCs w:val="21"/>
                    </w:rPr>
                    <w:t>、SO</w:t>
                  </w:r>
                  <w:r>
                    <w:rPr>
                      <w:spacing w:val="40"/>
                      <w:szCs w:val="21"/>
                      <w:vertAlign w:val="subscript"/>
                    </w:rPr>
                    <w:t>2</w:t>
                  </w:r>
                  <w:r>
                    <w:rPr>
                      <w:spacing w:val="40"/>
                      <w:szCs w:val="21"/>
                    </w:rPr>
                    <w:t>、NO</w:t>
                  </w:r>
                  <w:r>
                    <w:rPr>
                      <w:spacing w:val="40"/>
                      <w:szCs w:val="21"/>
                      <w:vertAlign w:val="subscript"/>
                    </w:rPr>
                    <w:t>2</w:t>
                  </w:r>
                  <w:r>
                    <w:rPr>
                      <w:spacing w:val="40"/>
                      <w:szCs w:val="21"/>
                    </w:rPr>
                    <w:t>为年平均；O</w:t>
                  </w:r>
                  <w:r>
                    <w:rPr>
                      <w:spacing w:val="40"/>
                      <w:szCs w:val="21"/>
                      <w:vertAlign w:val="subscript"/>
                    </w:rPr>
                    <w:t>3</w:t>
                  </w:r>
                  <w:r>
                    <w:rPr>
                      <w:spacing w:val="40"/>
                      <w:szCs w:val="21"/>
                    </w:rPr>
                    <w:t>为日最大8小时平均；CO为24小时平均</w:t>
                  </w:r>
                </w:p>
              </w:tc>
            </w:tr>
          </w:tbl>
          <w:p w14:paraId="3BDAC482">
            <w:pPr>
              <w:spacing w:line="360" w:lineRule="auto"/>
              <w:ind w:firstLine="480" w:firstLineChars="200"/>
              <w:rPr>
                <w:sz w:val="24"/>
                <w:szCs w:val="21"/>
              </w:rPr>
            </w:pPr>
            <w:r>
              <w:rPr>
                <w:sz w:val="24"/>
                <w:szCs w:val="21"/>
              </w:rPr>
              <w:t>由以上数据可知，202</w:t>
            </w:r>
            <w:r>
              <w:rPr>
                <w:rFonts w:hint="eastAsia"/>
                <w:sz w:val="24"/>
                <w:szCs w:val="21"/>
              </w:rPr>
              <w:t>3</w:t>
            </w:r>
            <w:r>
              <w:rPr>
                <w:sz w:val="24"/>
                <w:szCs w:val="21"/>
              </w:rPr>
              <w:t>年</w:t>
            </w:r>
            <w:r>
              <w:rPr>
                <w:rFonts w:hint="eastAsia"/>
                <w:sz w:val="24"/>
                <w:szCs w:val="21"/>
              </w:rPr>
              <w:t>吕梁市方山县环境空气六项主要污染物</w:t>
            </w:r>
            <w:r>
              <w:rPr>
                <w:sz w:val="24"/>
                <w:szCs w:val="21"/>
              </w:rPr>
              <w:t>浓度</w:t>
            </w:r>
            <w:r>
              <w:rPr>
                <w:rFonts w:hint="eastAsia"/>
                <w:sz w:val="24"/>
                <w:szCs w:val="21"/>
              </w:rPr>
              <w:t>满足《环境空气质量标准（G</w:t>
            </w:r>
            <w:r>
              <w:rPr>
                <w:sz w:val="24"/>
                <w:szCs w:val="21"/>
              </w:rPr>
              <w:t>B3095-2012</w:t>
            </w:r>
            <w:r>
              <w:rPr>
                <w:rFonts w:hint="eastAsia"/>
                <w:sz w:val="24"/>
                <w:szCs w:val="21"/>
              </w:rPr>
              <w:t>）》表1中二级标准限值</w:t>
            </w:r>
            <w:r>
              <w:rPr>
                <w:sz w:val="24"/>
                <w:szCs w:val="21"/>
              </w:rPr>
              <w:t>，</w:t>
            </w:r>
            <w:r>
              <w:rPr>
                <w:rFonts w:hint="eastAsia"/>
                <w:sz w:val="24"/>
                <w:szCs w:val="21"/>
              </w:rPr>
              <w:t>方山县为环境空气质量</w:t>
            </w:r>
            <w:r>
              <w:rPr>
                <w:sz w:val="24"/>
                <w:szCs w:val="21"/>
              </w:rPr>
              <w:t>达标区。</w:t>
            </w:r>
          </w:p>
          <w:bookmarkEnd w:id="12"/>
          <w:p w14:paraId="52B1810C">
            <w:pPr>
              <w:spacing w:line="360" w:lineRule="auto"/>
              <w:jc w:val="left"/>
              <w:rPr>
                <w:b/>
                <w:bCs/>
                <w:sz w:val="24"/>
                <w:szCs w:val="21"/>
              </w:rPr>
            </w:pPr>
            <w:r>
              <w:rPr>
                <w:rFonts w:hint="eastAsia"/>
                <w:b/>
                <w:bCs/>
                <w:sz w:val="24"/>
                <w:szCs w:val="21"/>
              </w:rPr>
              <w:t>3.1.2环境空气质量现状补充监测</w:t>
            </w:r>
          </w:p>
          <w:p w14:paraId="7EB090AF">
            <w:pPr>
              <w:spacing w:line="360" w:lineRule="auto"/>
              <w:ind w:firstLine="480" w:firstLineChars="200"/>
              <w:rPr>
                <w:sz w:val="24"/>
              </w:rPr>
            </w:pPr>
            <w:r>
              <w:rPr>
                <w:rFonts w:hint="eastAsia"/>
                <w:sz w:val="24"/>
              </w:rPr>
              <w:t>山西鸿升工贸能源有限责任公司委托山西禄久泽检测技术有限责任公司于2</w:t>
            </w:r>
            <w:r>
              <w:rPr>
                <w:sz w:val="24"/>
              </w:rPr>
              <w:t>02</w:t>
            </w:r>
            <w:r>
              <w:rPr>
                <w:rFonts w:hint="eastAsia"/>
                <w:sz w:val="24"/>
              </w:rPr>
              <w:t>4年</w:t>
            </w:r>
            <w:r>
              <w:rPr>
                <w:sz w:val="24"/>
              </w:rPr>
              <w:t>7</w:t>
            </w:r>
            <w:r>
              <w:rPr>
                <w:rFonts w:hint="eastAsia"/>
                <w:sz w:val="24"/>
              </w:rPr>
              <w:t>月</w:t>
            </w:r>
            <w:r>
              <w:rPr>
                <w:sz w:val="24"/>
              </w:rPr>
              <w:t>2</w:t>
            </w:r>
            <w:r>
              <w:rPr>
                <w:rFonts w:hint="eastAsia"/>
                <w:sz w:val="24"/>
              </w:rPr>
              <w:t>4日至</w:t>
            </w:r>
            <w:r>
              <w:rPr>
                <w:sz w:val="24"/>
              </w:rPr>
              <w:t>7</w:t>
            </w:r>
            <w:r>
              <w:rPr>
                <w:rFonts w:hint="eastAsia"/>
                <w:sz w:val="24"/>
              </w:rPr>
              <w:t>月</w:t>
            </w:r>
            <w:r>
              <w:rPr>
                <w:sz w:val="24"/>
              </w:rPr>
              <w:t>2</w:t>
            </w:r>
            <w:r>
              <w:rPr>
                <w:rFonts w:hint="eastAsia"/>
                <w:sz w:val="24"/>
              </w:rPr>
              <w:t>6日对本项目特征因子T</w:t>
            </w:r>
            <w:r>
              <w:rPr>
                <w:sz w:val="24"/>
              </w:rPr>
              <w:t>SP</w:t>
            </w:r>
            <w:r>
              <w:rPr>
                <w:rFonts w:hint="eastAsia"/>
                <w:sz w:val="24"/>
              </w:rPr>
              <w:t>进行了环境空气质量现状补充监测（见附件5）。</w:t>
            </w:r>
            <w:r>
              <w:rPr>
                <w:rFonts w:hint="eastAsia" w:hAnsi="宋体"/>
                <w:sz w:val="24"/>
              </w:rPr>
              <w:t>监测点为任家山</w:t>
            </w:r>
            <w:r>
              <w:rPr>
                <w:rFonts w:hint="eastAsia"/>
                <w:sz w:val="24"/>
              </w:rPr>
              <w:t>，监测点位见图</w:t>
            </w:r>
            <w:r>
              <w:rPr>
                <w:sz w:val="24"/>
              </w:rPr>
              <w:t>3-1</w:t>
            </w:r>
            <w:r>
              <w:rPr>
                <w:rFonts w:hint="eastAsia"/>
                <w:sz w:val="24"/>
              </w:rPr>
              <w:t>，环境空气监测布点图见附图8。该监测数据的时间、有效数据数量和与本项目距离都能满足《建设项目环境影响报告表编制技术指南（污染影响类）（试行）》的相关要求（5km范围内近3年）。从表3</w:t>
            </w:r>
            <w:r>
              <w:rPr>
                <w:sz w:val="24"/>
              </w:rPr>
              <w:t>-2</w:t>
            </w:r>
            <w:r>
              <w:rPr>
                <w:rFonts w:hint="eastAsia"/>
                <w:sz w:val="24"/>
              </w:rPr>
              <w:t>可以看出项目周边TSP可以满足《环境空气质量标准》（GB3095-2012）表1中二级标准限值（300</w:t>
            </w:r>
            <w:r>
              <w:rPr>
                <w:sz w:val="24"/>
              </w:rPr>
              <w:t>μ</w:t>
            </w:r>
            <w:r>
              <w:rPr>
                <w:rFonts w:hint="eastAsia"/>
                <w:sz w:val="24"/>
              </w:rPr>
              <w:t>g/m</w:t>
            </w:r>
            <w:r>
              <w:rPr>
                <w:rFonts w:hint="eastAsia"/>
                <w:sz w:val="24"/>
                <w:vertAlign w:val="superscript"/>
              </w:rPr>
              <w:t>3</w:t>
            </w:r>
            <w:r>
              <w:rPr>
                <w:rFonts w:hint="eastAsia"/>
                <w:sz w:val="24"/>
              </w:rPr>
              <w:t>）要求。</w:t>
            </w:r>
          </w:p>
          <w:p w14:paraId="56AB75EB">
            <w:pPr>
              <w:spacing w:line="360" w:lineRule="auto"/>
              <w:jc w:val="center"/>
              <w:rPr>
                <w:b/>
                <w:szCs w:val="21"/>
              </w:rPr>
            </w:pPr>
            <w:r>
              <w:rPr>
                <w:b/>
                <w:szCs w:val="21"/>
              </w:rPr>
              <w:t>表3-2其他污染物环境质量现状监测结果表</w:t>
            </w:r>
          </w:p>
          <w:tbl>
            <w:tblPr>
              <w:tblStyle w:val="579"/>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070"/>
              <w:gridCol w:w="1020"/>
              <w:gridCol w:w="1080"/>
              <w:gridCol w:w="767"/>
              <w:gridCol w:w="1080"/>
              <w:gridCol w:w="928"/>
              <w:gridCol w:w="1282"/>
              <w:gridCol w:w="1132"/>
            </w:tblGrid>
            <w:tr w14:paraId="7BAEE4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pct"/>
                  <w:vAlign w:val="center"/>
                </w:tcPr>
                <w:p w14:paraId="0AD7AB64">
                  <w:pPr>
                    <w:spacing w:before="71"/>
                    <w:jc w:val="center"/>
                    <w:rPr>
                      <w:rFonts w:eastAsia="Times New Roman"/>
                      <w:kern w:val="0"/>
                      <w:szCs w:val="21"/>
                    </w:rPr>
                  </w:pPr>
                  <w:r>
                    <w:rPr>
                      <w:rFonts w:eastAsia="Times New Roman"/>
                      <w:szCs w:val="21"/>
                    </w:rPr>
                    <w:t>监测日期</w:t>
                  </w:r>
                </w:p>
              </w:tc>
              <w:tc>
                <w:tcPr>
                  <w:tcW w:w="610" w:type="pct"/>
                  <w:vAlign w:val="center"/>
                </w:tcPr>
                <w:p w14:paraId="0ED6C7D7">
                  <w:pPr>
                    <w:spacing w:before="71"/>
                    <w:jc w:val="center"/>
                    <w:rPr>
                      <w:rFonts w:eastAsia="Times New Roman"/>
                      <w:szCs w:val="21"/>
                    </w:rPr>
                  </w:pPr>
                  <w:r>
                    <w:rPr>
                      <w:rFonts w:eastAsia="Times New Roman"/>
                      <w:szCs w:val="21"/>
                    </w:rPr>
                    <w:t>监测点位</w:t>
                  </w:r>
                </w:p>
              </w:tc>
              <w:tc>
                <w:tcPr>
                  <w:tcW w:w="646" w:type="pct"/>
                  <w:vAlign w:val="center"/>
                </w:tcPr>
                <w:p w14:paraId="60BD3289">
                  <w:pPr>
                    <w:spacing w:before="71"/>
                    <w:jc w:val="center"/>
                    <w:rPr>
                      <w:rFonts w:eastAsia="Times New Roman"/>
                      <w:szCs w:val="21"/>
                    </w:rPr>
                  </w:pPr>
                  <w:r>
                    <w:rPr>
                      <w:rFonts w:eastAsia="Times New Roman"/>
                      <w:szCs w:val="21"/>
                    </w:rPr>
                    <w:t>监测项目</w:t>
                  </w:r>
                </w:p>
              </w:tc>
              <w:tc>
                <w:tcPr>
                  <w:tcW w:w="459" w:type="pct"/>
                  <w:vAlign w:val="center"/>
                </w:tcPr>
                <w:p w14:paraId="55488AC9">
                  <w:pPr>
                    <w:spacing w:before="73"/>
                    <w:jc w:val="center"/>
                    <w:rPr>
                      <w:rFonts w:eastAsia="Times New Roman"/>
                      <w:szCs w:val="21"/>
                    </w:rPr>
                  </w:pPr>
                  <w:r>
                    <w:rPr>
                      <w:rFonts w:eastAsia="Times New Roman"/>
                      <w:szCs w:val="21"/>
                    </w:rPr>
                    <w:t>单位</w:t>
                  </w:r>
                </w:p>
              </w:tc>
              <w:tc>
                <w:tcPr>
                  <w:tcW w:w="646" w:type="pct"/>
                  <w:vAlign w:val="center"/>
                </w:tcPr>
                <w:p w14:paraId="5B0112C4">
                  <w:pPr>
                    <w:spacing w:before="71"/>
                    <w:jc w:val="center"/>
                    <w:rPr>
                      <w:rFonts w:eastAsia="Times New Roman"/>
                      <w:szCs w:val="21"/>
                    </w:rPr>
                  </w:pPr>
                  <w:r>
                    <w:rPr>
                      <w:rFonts w:eastAsia="Times New Roman"/>
                      <w:szCs w:val="21"/>
                    </w:rPr>
                    <w:t>监测结果</w:t>
                  </w:r>
                </w:p>
              </w:tc>
              <w:tc>
                <w:tcPr>
                  <w:tcW w:w="555" w:type="pct"/>
                  <w:vAlign w:val="center"/>
                </w:tcPr>
                <w:p w14:paraId="5339C98F">
                  <w:pPr>
                    <w:spacing w:before="70"/>
                    <w:jc w:val="center"/>
                    <w:rPr>
                      <w:rFonts w:eastAsia="Times New Roman"/>
                      <w:szCs w:val="21"/>
                    </w:rPr>
                  </w:pPr>
                  <w:r>
                    <w:rPr>
                      <w:rFonts w:eastAsia="Times New Roman"/>
                      <w:szCs w:val="21"/>
                    </w:rPr>
                    <w:t>标准限值</w:t>
                  </w:r>
                </w:p>
              </w:tc>
              <w:tc>
                <w:tcPr>
                  <w:tcW w:w="767" w:type="pct"/>
                  <w:vAlign w:val="center"/>
                </w:tcPr>
                <w:p w14:paraId="6AF6636A">
                  <w:pPr>
                    <w:spacing w:before="70"/>
                    <w:jc w:val="center"/>
                    <w:rPr>
                      <w:rFonts w:eastAsia="Times New Roman"/>
                      <w:szCs w:val="21"/>
                    </w:rPr>
                  </w:pPr>
                  <w:r>
                    <w:rPr>
                      <w:rFonts w:hint="eastAsia" w:ascii="宋体" w:hAnsi="宋体" w:eastAsia="Times New Roman" w:cs="宋体"/>
                      <w:szCs w:val="21"/>
                    </w:rPr>
                    <w:t>占</w:t>
                  </w:r>
                  <w:r>
                    <w:rPr>
                      <w:rFonts w:hint="eastAsia" w:ascii="宋体" w:hAnsi="宋体" w:eastAsia="Times New Roman" w:cs="宋体"/>
                      <w:color w:val="000000" w:themeColor="text1"/>
                      <w:szCs w:val="21"/>
                      <w14:textFill>
                        <w14:solidFill>
                          <w14:schemeClr w14:val="tx1"/>
                        </w14:solidFill>
                      </w14:textFill>
                    </w:rPr>
                    <w:t>标率（</w:t>
                  </w:r>
                  <w:r>
                    <w:rPr>
                      <w:rFonts w:eastAsia="Times New Roman"/>
                      <w:color w:val="000000" w:themeColor="text1"/>
                      <w:szCs w:val="21"/>
                      <w14:textFill>
                        <w14:solidFill>
                          <w14:schemeClr w14:val="tx1"/>
                        </w14:solidFill>
                      </w14:textFill>
                    </w:rPr>
                    <w:t>%</w:t>
                  </w:r>
                  <w:r>
                    <w:rPr>
                      <w:rFonts w:hint="eastAsia" w:ascii="宋体" w:hAnsi="宋体" w:eastAsia="Times New Roman" w:cs="宋体"/>
                      <w:szCs w:val="21"/>
                    </w:rPr>
                    <w:t>）</w:t>
                  </w:r>
                </w:p>
              </w:tc>
              <w:tc>
                <w:tcPr>
                  <w:tcW w:w="677" w:type="pct"/>
                  <w:vAlign w:val="center"/>
                </w:tcPr>
                <w:p w14:paraId="0950CC00">
                  <w:pPr>
                    <w:spacing w:before="70"/>
                    <w:jc w:val="center"/>
                    <w:rPr>
                      <w:rFonts w:eastAsia="Times New Roman"/>
                      <w:szCs w:val="21"/>
                    </w:rPr>
                  </w:pPr>
                  <w:r>
                    <w:rPr>
                      <w:rFonts w:hint="eastAsia" w:eastAsia="Times New Roman"/>
                      <w:szCs w:val="21"/>
                    </w:rPr>
                    <w:t>达标情况</w:t>
                  </w:r>
                </w:p>
              </w:tc>
            </w:tr>
            <w:tr w14:paraId="5706B2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pct"/>
                  <w:vAlign w:val="center"/>
                </w:tcPr>
                <w:p w14:paraId="7F7F28C7">
                  <w:pPr>
                    <w:spacing w:before="122"/>
                    <w:jc w:val="center"/>
                    <w:rPr>
                      <w:rFonts w:eastAsiaTheme="minorEastAsia"/>
                      <w:szCs w:val="21"/>
                    </w:rPr>
                  </w:pPr>
                  <w:r>
                    <w:rPr>
                      <w:rFonts w:eastAsiaTheme="minorEastAsia"/>
                      <w:szCs w:val="21"/>
                    </w:rPr>
                    <w:t>2024.7.24</w:t>
                  </w:r>
                </w:p>
              </w:tc>
              <w:tc>
                <w:tcPr>
                  <w:tcW w:w="610" w:type="pct"/>
                  <w:vMerge w:val="restart"/>
                  <w:vAlign w:val="center"/>
                </w:tcPr>
                <w:p w14:paraId="4C4C5733">
                  <w:pPr>
                    <w:spacing w:before="65"/>
                    <w:jc w:val="center"/>
                    <w:rPr>
                      <w:rFonts w:eastAsia="Times New Roman"/>
                      <w:szCs w:val="21"/>
                    </w:rPr>
                  </w:pPr>
                  <w:r>
                    <w:rPr>
                      <w:rFonts w:eastAsia="Times New Roman"/>
                      <w:szCs w:val="21"/>
                    </w:rPr>
                    <w:t>1#</w:t>
                  </w:r>
                  <w:r>
                    <w:rPr>
                      <w:rFonts w:hint="eastAsia" w:eastAsia="Times New Roman"/>
                      <w:szCs w:val="21"/>
                    </w:rPr>
                    <w:t>任家山</w:t>
                  </w:r>
                </w:p>
              </w:tc>
              <w:tc>
                <w:tcPr>
                  <w:tcW w:w="646" w:type="pct"/>
                  <w:vMerge w:val="restart"/>
                  <w:vAlign w:val="center"/>
                </w:tcPr>
                <w:p w14:paraId="27BA1193">
                  <w:pPr>
                    <w:spacing w:before="65"/>
                    <w:ind w:left="92"/>
                    <w:jc w:val="center"/>
                    <w:rPr>
                      <w:rFonts w:eastAsia="Times New Roman"/>
                      <w:szCs w:val="21"/>
                    </w:rPr>
                  </w:pPr>
                  <w:r>
                    <w:rPr>
                      <w:rFonts w:eastAsia="Times New Roman"/>
                      <w:szCs w:val="21"/>
                    </w:rPr>
                    <w:t>TSP</w:t>
                  </w:r>
                </w:p>
              </w:tc>
              <w:tc>
                <w:tcPr>
                  <w:tcW w:w="459" w:type="pct"/>
                  <w:vMerge w:val="restart"/>
                  <w:vAlign w:val="center"/>
                </w:tcPr>
                <w:p w14:paraId="28410A46">
                  <w:pPr>
                    <w:spacing w:before="45"/>
                    <w:jc w:val="center"/>
                    <w:rPr>
                      <w:rFonts w:eastAsia="Times New Roman"/>
                      <w:szCs w:val="21"/>
                    </w:rPr>
                  </w:pPr>
                  <w:r>
                    <w:rPr>
                      <w:rFonts w:eastAsia="Times New Roman"/>
                      <w:szCs w:val="21"/>
                    </w:rPr>
                    <w:t>μg/m³</w:t>
                  </w:r>
                </w:p>
              </w:tc>
              <w:tc>
                <w:tcPr>
                  <w:tcW w:w="646" w:type="pct"/>
                  <w:vAlign w:val="center"/>
                </w:tcPr>
                <w:p w14:paraId="6233D90C">
                  <w:pPr>
                    <w:spacing w:before="122"/>
                    <w:jc w:val="center"/>
                    <w:rPr>
                      <w:rFonts w:eastAsiaTheme="minorEastAsia"/>
                      <w:szCs w:val="21"/>
                    </w:rPr>
                  </w:pPr>
                  <w:r>
                    <w:rPr>
                      <w:rFonts w:hint="eastAsia" w:eastAsiaTheme="minorEastAsia"/>
                      <w:szCs w:val="21"/>
                    </w:rPr>
                    <w:t>192</w:t>
                  </w:r>
                </w:p>
              </w:tc>
              <w:tc>
                <w:tcPr>
                  <w:tcW w:w="555" w:type="pct"/>
                  <w:vMerge w:val="restart"/>
                  <w:vAlign w:val="center"/>
                </w:tcPr>
                <w:p w14:paraId="7A1A9558">
                  <w:pPr>
                    <w:spacing w:before="65"/>
                    <w:jc w:val="center"/>
                    <w:rPr>
                      <w:rFonts w:eastAsia="Times New Roman"/>
                      <w:szCs w:val="21"/>
                    </w:rPr>
                  </w:pPr>
                  <w:r>
                    <w:rPr>
                      <w:rFonts w:eastAsia="Times New Roman"/>
                      <w:szCs w:val="21"/>
                    </w:rPr>
                    <w:t>300</w:t>
                  </w:r>
                </w:p>
              </w:tc>
              <w:tc>
                <w:tcPr>
                  <w:tcW w:w="767" w:type="pct"/>
                  <w:vAlign w:val="center"/>
                </w:tcPr>
                <w:p w14:paraId="68E05810">
                  <w:pPr>
                    <w:spacing w:before="71"/>
                    <w:jc w:val="center"/>
                    <w:rPr>
                      <w:rFonts w:eastAsiaTheme="minorEastAsia"/>
                      <w:szCs w:val="21"/>
                    </w:rPr>
                  </w:pPr>
                  <w:r>
                    <w:rPr>
                      <w:rFonts w:hint="eastAsia" w:eastAsiaTheme="minorEastAsia"/>
                      <w:szCs w:val="21"/>
                    </w:rPr>
                    <w:t>64</w:t>
                  </w:r>
                </w:p>
              </w:tc>
              <w:tc>
                <w:tcPr>
                  <w:tcW w:w="677" w:type="pct"/>
                  <w:vAlign w:val="center"/>
                </w:tcPr>
                <w:p w14:paraId="019F4AD6">
                  <w:pPr>
                    <w:spacing w:before="71"/>
                    <w:jc w:val="center"/>
                    <w:rPr>
                      <w:rFonts w:eastAsia="Times New Roman"/>
                      <w:szCs w:val="21"/>
                    </w:rPr>
                  </w:pPr>
                  <w:r>
                    <w:rPr>
                      <w:rFonts w:hint="eastAsia" w:eastAsia="Times New Roman"/>
                      <w:szCs w:val="21"/>
                    </w:rPr>
                    <w:t>达标</w:t>
                  </w:r>
                </w:p>
              </w:tc>
            </w:tr>
            <w:tr w14:paraId="24A3FE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pct"/>
                  <w:vAlign w:val="center"/>
                </w:tcPr>
                <w:p w14:paraId="36F06E02">
                  <w:pPr>
                    <w:spacing w:before="124"/>
                    <w:jc w:val="center"/>
                    <w:rPr>
                      <w:rFonts w:eastAsiaTheme="minorEastAsia"/>
                      <w:szCs w:val="21"/>
                    </w:rPr>
                  </w:pPr>
                  <w:r>
                    <w:rPr>
                      <w:rFonts w:eastAsiaTheme="minorEastAsia"/>
                      <w:szCs w:val="21"/>
                    </w:rPr>
                    <w:t>2024.7.25</w:t>
                  </w:r>
                </w:p>
              </w:tc>
              <w:tc>
                <w:tcPr>
                  <w:tcW w:w="610" w:type="pct"/>
                  <w:vMerge w:val="continue"/>
                  <w:vAlign w:val="center"/>
                </w:tcPr>
                <w:p w14:paraId="40B9093C">
                  <w:pPr>
                    <w:jc w:val="center"/>
                    <w:rPr>
                      <w:rFonts w:eastAsia="Times New Roman"/>
                      <w:color w:val="000000"/>
                      <w:szCs w:val="21"/>
                    </w:rPr>
                  </w:pPr>
                </w:p>
              </w:tc>
              <w:tc>
                <w:tcPr>
                  <w:tcW w:w="646" w:type="pct"/>
                  <w:vMerge w:val="continue"/>
                  <w:vAlign w:val="center"/>
                </w:tcPr>
                <w:p w14:paraId="15A419B7">
                  <w:pPr>
                    <w:jc w:val="center"/>
                    <w:rPr>
                      <w:rFonts w:eastAsia="Times New Roman"/>
                      <w:color w:val="000000"/>
                      <w:szCs w:val="21"/>
                    </w:rPr>
                  </w:pPr>
                </w:p>
              </w:tc>
              <w:tc>
                <w:tcPr>
                  <w:tcW w:w="459" w:type="pct"/>
                  <w:vMerge w:val="continue"/>
                  <w:vAlign w:val="center"/>
                </w:tcPr>
                <w:p w14:paraId="537B4FEE">
                  <w:pPr>
                    <w:jc w:val="center"/>
                    <w:rPr>
                      <w:rFonts w:eastAsia="Times New Roman"/>
                      <w:color w:val="000000"/>
                      <w:szCs w:val="21"/>
                    </w:rPr>
                  </w:pPr>
                </w:p>
              </w:tc>
              <w:tc>
                <w:tcPr>
                  <w:tcW w:w="646" w:type="pct"/>
                  <w:vAlign w:val="center"/>
                </w:tcPr>
                <w:p w14:paraId="3CB63E1E">
                  <w:pPr>
                    <w:spacing w:before="123"/>
                    <w:jc w:val="center"/>
                    <w:rPr>
                      <w:rFonts w:eastAsiaTheme="minorEastAsia"/>
                      <w:szCs w:val="21"/>
                    </w:rPr>
                  </w:pPr>
                  <w:r>
                    <w:rPr>
                      <w:rFonts w:hint="eastAsia" w:eastAsiaTheme="minorEastAsia"/>
                      <w:szCs w:val="21"/>
                    </w:rPr>
                    <w:t>188</w:t>
                  </w:r>
                </w:p>
              </w:tc>
              <w:tc>
                <w:tcPr>
                  <w:tcW w:w="555" w:type="pct"/>
                  <w:vMerge w:val="continue"/>
                  <w:vAlign w:val="center"/>
                </w:tcPr>
                <w:p w14:paraId="3679EAE0">
                  <w:pPr>
                    <w:jc w:val="center"/>
                    <w:rPr>
                      <w:rFonts w:eastAsia="Times New Roman"/>
                      <w:color w:val="000000"/>
                      <w:szCs w:val="21"/>
                    </w:rPr>
                  </w:pPr>
                </w:p>
              </w:tc>
              <w:tc>
                <w:tcPr>
                  <w:tcW w:w="767" w:type="pct"/>
                  <w:vAlign w:val="center"/>
                </w:tcPr>
                <w:p w14:paraId="7E347561">
                  <w:pPr>
                    <w:spacing w:before="73"/>
                    <w:jc w:val="center"/>
                    <w:rPr>
                      <w:rFonts w:eastAsiaTheme="minorEastAsia"/>
                      <w:szCs w:val="21"/>
                    </w:rPr>
                  </w:pPr>
                  <w:r>
                    <w:rPr>
                      <w:rFonts w:hint="eastAsia" w:eastAsiaTheme="minorEastAsia"/>
                      <w:szCs w:val="21"/>
                    </w:rPr>
                    <w:t>62.7</w:t>
                  </w:r>
                </w:p>
              </w:tc>
              <w:tc>
                <w:tcPr>
                  <w:tcW w:w="677" w:type="pct"/>
                  <w:vAlign w:val="center"/>
                </w:tcPr>
                <w:p w14:paraId="3D87FA8E">
                  <w:pPr>
                    <w:spacing w:before="73"/>
                    <w:jc w:val="center"/>
                    <w:rPr>
                      <w:rFonts w:eastAsia="Times New Roman"/>
                      <w:szCs w:val="21"/>
                    </w:rPr>
                  </w:pPr>
                  <w:r>
                    <w:rPr>
                      <w:rFonts w:hint="eastAsia" w:eastAsia="Times New Roman"/>
                      <w:szCs w:val="21"/>
                    </w:rPr>
                    <w:t>达标</w:t>
                  </w:r>
                </w:p>
              </w:tc>
            </w:tr>
            <w:tr w14:paraId="62C6ED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40" w:type="pct"/>
                  <w:vAlign w:val="center"/>
                </w:tcPr>
                <w:p w14:paraId="425C5BA6">
                  <w:pPr>
                    <w:spacing w:before="126"/>
                    <w:jc w:val="center"/>
                    <w:rPr>
                      <w:rFonts w:eastAsiaTheme="minorEastAsia"/>
                      <w:szCs w:val="21"/>
                    </w:rPr>
                  </w:pPr>
                  <w:r>
                    <w:rPr>
                      <w:rFonts w:eastAsiaTheme="minorEastAsia"/>
                      <w:szCs w:val="21"/>
                    </w:rPr>
                    <w:t>2024.7.26</w:t>
                  </w:r>
                </w:p>
              </w:tc>
              <w:tc>
                <w:tcPr>
                  <w:tcW w:w="610" w:type="pct"/>
                  <w:vMerge w:val="continue"/>
                  <w:vAlign w:val="center"/>
                </w:tcPr>
                <w:p w14:paraId="6C34B6B5">
                  <w:pPr>
                    <w:jc w:val="center"/>
                    <w:rPr>
                      <w:rFonts w:eastAsia="Times New Roman"/>
                      <w:color w:val="000000"/>
                      <w:szCs w:val="21"/>
                    </w:rPr>
                  </w:pPr>
                </w:p>
              </w:tc>
              <w:tc>
                <w:tcPr>
                  <w:tcW w:w="646" w:type="pct"/>
                  <w:vMerge w:val="continue"/>
                  <w:vAlign w:val="center"/>
                </w:tcPr>
                <w:p w14:paraId="3D5241EE">
                  <w:pPr>
                    <w:jc w:val="center"/>
                    <w:rPr>
                      <w:rFonts w:eastAsia="Times New Roman"/>
                      <w:color w:val="000000"/>
                      <w:szCs w:val="21"/>
                    </w:rPr>
                  </w:pPr>
                </w:p>
              </w:tc>
              <w:tc>
                <w:tcPr>
                  <w:tcW w:w="459" w:type="pct"/>
                  <w:vMerge w:val="continue"/>
                  <w:vAlign w:val="center"/>
                </w:tcPr>
                <w:p w14:paraId="17B80AD3">
                  <w:pPr>
                    <w:jc w:val="center"/>
                    <w:rPr>
                      <w:rFonts w:eastAsia="Times New Roman"/>
                      <w:color w:val="000000"/>
                      <w:szCs w:val="21"/>
                    </w:rPr>
                  </w:pPr>
                </w:p>
              </w:tc>
              <w:tc>
                <w:tcPr>
                  <w:tcW w:w="646" w:type="pct"/>
                  <w:vAlign w:val="center"/>
                </w:tcPr>
                <w:p w14:paraId="0A83FF72">
                  <w:pPr>
                    <w:spacing w:before="125"/>
                    <w:jc w:val="center"/>
                    <w:rPr>
                      <w:rFonts w:eastAsiaTheme="minorEastAsia"/>
                      <w:szCs w:val="21"/>
                    </w:rPr>
                  </w:pPr>
                  <w:r>
                    <w:rPr>
                      <w:rFonts w:hint="eastAsia" w:eastAsiaTheme="minorEastAsia"/>
                      <w:szCs w:val="21"/>
                    </w:rPr>
                    <w:t>195</w:t>
                  </w:r>
                </w:p>
              </w:tc>
              <w:tc>
                <w:tcPr>
                  <w:tcW w:w="555" w:type="pct"/>
                  <w:vMerge w:val="continue"/>
                  <w:vAlign w:val="center"/>
                </w:tcPr>
                <w:p w14:paraId="04EB7423">
                  <w:pPr>
                    <w:jc w:val="center"/>
                    <w:rPr>
                      <w:rFonts w:eastAsia="Times New Roman"/>
                      <w:color w:val="000000"/>
                      <w:szCs w:val="21"/>
                    </w:rPr>
                  </w:pPr>
                </w:p>
              </w:tc>
              <w:tc>
                <w:tcPr>
                  <w:tcW w:w="767" w:type="pct"/>
                  <w:vAlign w:val="center"/>
                </w:tcPr>
                <w:p w14:paraId="57D30D46">
                  <w:pPr>
                    <w:spacing w:before="75"/>
                    <w:jc w:val="center"/>
                    <w:rPr>
                      <w:rFonts w:eastAsiaTheme="minorEastAsia"/>
                      <w:szCs w:val="21"/>
                    </w:rPr>
                  </w:pPr>
                  <w:r>
                    <w:rPr>
                      <w:rFonts w:hint="eastAsia" w:eastAsiaTheme="minorEastAsia"/>
                      <w:szCs w:val="21"/>
                    </w:rPr>
                    <w:t>65</w:t>
                  </w:r>
                </w:p>
              </w:tc>
              <w:tc>
                <w:tcPr>
                  <w:tcW w:w="677" w:type="pct"/>
                  <w:vAlign w:val="center"/>
                </w:tcPr>
                <w:p w14:paraId="56B116DD">
                  <w:pPr>
                    <w:spacing w:before="75"/>
                    <w:jc w:val="center"/>
                    <w:rPr>
                      <w:rFonts w:eastAsia="Times New Roman"/>
                      <w:szCs w:val="21"/>
                    </w:rPr>
                  </w:pPr>
                  <w:r>
                    <w:rPr>
                      <w:rFonts w:hint="eastAsia" w:eastAsia="Times New Roman"/>
                      <w:szCs w:val="21"/>
                    </w:rPr>
                    <w:t>达标</w:t>
                  </w:r>
                </w:p>
              </w:tc>
            </w:tr>
          </w:tbl>
          <w:p w14:paraId="048CAA6F">
            <w:pPr>
              <w:spacing w:before="120" w:beforeLines="50" w:line="360" w:lineRule="auto"/>
              <w:jc w:val="center"/>
              <w:rPr>
                <w:b/>
                <w:bCs/>
                <w:szCs w:val="21"/>
              </w:rPr>
            </w:pPr>
            <w:r>
              <w:rPr>
                <w:b/>
                <w:bCs/>
                <w:sz w:val="24"/>
                <w:szCs w:val="21"/>
              </w:rPr>
              <w:drawing>
                <wp:inline distT="0" distB="0" distL="0" distR="0">
                  <wp:extent cx="4803775" cy="3367405"/>
                  <wp:effectExtent l="0" t="0" r="0" b="4445"/>
                  <wp:docPr id="13503749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74949" name="图片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812337" cy="3373485"/>
                          </a:xfrm>
                          <a:prstGeom prst="rect">
                            <a:avLst/>
                          </a:prstGeom>
                        </pic:spPr>
                      </pic:pic>
                    </a:graphicData>
                  </a:graphic>
                </wp:inline>
              </w:drawing>
            </w:r>
          </w:p>
          <w:p w14:paraId="237306CB">
            <w:pPr>
              <w:spacing w:line="360" w:lineRule="auto"/>
              <w:jc w:val="center"/>
              <w:rPr>
                <w:b/>
                <w:bCs/>
                <w:sz w:val="24"/>
                <w:szCs w:val="21"/>
              </w:rPr>
            </w:pPr>
            <w:r>
              <w:rPr>
                <w:rFonts w:hint="eastAsia"/>
                <w:b/>
                <w:bCs/>
                <w:szCs w:val="21"/>
              </w:rPr>
              <w:t>图</w:t>
            </w:r>
            <w:r>
              <w:rPr>
                <w:b/>
                <w:bCs/>
                <w:szCs w:val="21"/>
              </w:rPr>
              <w:t xml:space="preserve">3-1  </w:t>
            </w:r>
            <w:r>
              <w:rPr>
                <w:rFonts w:hint="eastAsia"/>
                <w:b/>
                <w:bCs/>
                <w:szCs w:val="21"/>
              </w:rPr>
              <w:t>环境空气监测点位示意图</w:t>
            </w:r>
          </w:p>
          <w:p w14:paraId="0ED86281">
            <w:pPr>
              <w:spacing w:line="360" w:lineRule="auto"/>
              <w:jc w:val="left"/>
              <w:rPr>
                <w:b/>
                <w:bCs/>
                <w:sz w:val="24"/>
                <w:szCs w:val="21"/>
              </w:rPr>
            </w:pPr>
            <w:r>
              <w:rPr>
                <w:rFonts w:hint="eastAsia"/>
                <w:b/>
                <w:bCs/>
                <w:sz w:val="24"/>
                <w:szCs w:val="21"/>
              </w:rPr>
              <w:t xml:space="preserve">3.2 </w:t>
            </w:r>
            <w:r>
              <w:rPr>
                <w:b/>
                <w:bCs/>
                <w:sz w:val="24"/>
                <w:szCs w:val="21"/>
              </w:rPr>
              <w:t>地表水质量现状</w:t>
            </w:r>
          </w:p>
          <w:p w14:paraId="1E47B0A7">
            <w:pPr>
              <w:spacing w:line="360" w:lineRule="auto"/>
              <w:ind w:firstLine="480" w:firstLineChars="200"/>
              <w:rPr>
                <w:sz w:val="24"/>
              </w:rPr>
            </w:pPr>
            <w:r>
              <w:rPr>
                <w:rFonts w:hint="eastAsia"/>
                <w:sz w:val="24"/>
              </w:rPr>
              <w:t>距离本项目最近的地表水为项目西侧厂区西侧的湫水河支流湍水头沟，距离大约</w:t>
            </w:r>
            <w:r>
              <w:rPr>
                <w:sz w:val="24"/>
              </w:rPr>
              <w:t>4km</w:t>
            </w:r>
            <w:r>
              <w:rPr>
                <w:rFonts w:hint="eastAsia"/>
                <w:sz w:val="24"/>
              </w:rPr>
              <w:t>。根据《山西省地表水环境功能区划》（DB14/67-2019），项目区域地表水属于黄河偏关-吴堡区东会至入黄河段，水质执行《地表水环境质量标准》（GB3838-2002）Ⅳ类标准。据《吕梁市水环境质量再提升2023年行动计划》“2023年，地表水国考、省考断面全部达到或优于Ⅲ类水质”。</w:t>
            </w:r>
          </w:p>
          <w:p w14:paraId="3F50BC94">
            <w:pPr>
              <w:spacing w:line="360" w:lineRule="auto"/>
              <w:ind w:firstLine="480" w:firstLineChars="200"/>
              <w:rPr>
                <w:sz w:val="24"/>
                <w:szCs w:val="21"/>
              </w:rPr>
            </w:pPr>
            <w:r>
              <w:rPr>
                <w:rFonts w:hint="eastAsia"/>
                <w:sz w:val="24"/>
                <w:szCs w:val="21"/>
              </w:rPr>
              <w:t>本项目无生产废水外排，未进行地表水现状监测。</w:t>
            </w:r>
            <w:r>
              <w:rPr>
                <w:rFonts w:hint="eastAsia"/>
                <w:sz w:val="24"/>
              </w:rPr>
              <w:t>湫水河监控断面为碛口，</w:t>
            </w:r>
            <w:r>
              <w:rPr>
                <w:rFonts w:hint="eastAsia"/>
                <w:sz w:val="24"/>
                <w:szCs w:val="21"/>
              </w:rPr>
              <w:t>碛口属于国考断面，根据</w:t>
            </w:r>
            <w:r>
              <w:rPr>
                <w:sz w:val="24"/>
                <w:szCs w:val="21"/>
              </w:rPr>
              <w:t>202</w:t>
            </w:r>
            <w:r>
              <w:rPr>
                <w:rFonts w:hint="eastAsia"/>
                <w:sz w:val="24"/>
                <w:szCs w:val="21"/>
              </w:rPr>
              <w:t>4年6月吕梁市地表水环境质量报告，碛口断面为</w:t>
            </w:r>
            <w:r>
              <w:rPr>
                <w:sz w:val="24"/>
                <w:szCs w:val="21"/>
              </w:rPr>
              <w:t>Ⅳ</w:t>
            </w:r>
            <w:r>
              <w:rPr>
                <w:rFonts w:hint="eastAsia"/>
                <w:sz w:val="24"/>
                <w:szCs w:val="21"/>
              </w:rPr>
              <w:t>类水质，属于轻度污染。其中，化学需氧量（IV，0.4），高锰酸盐指数（IV，0.02）。不能满足</w:t>
            </w:r>
            <w:r>
              <w:rPr>
                <w:rFonts w:hint="eastAsia"/>
                <w:sz w:val="24"/>
              </w:rPr>
              <w:t>Ⅲ类水质标准。项目区域地表水系图见附图9。</w:t>
            </w:r>
          </w:p>
          <w:p w14:paraId="175F3F4D">
            <w:pPr>
              <w:spacing w:line="360" w:lineRule="auto"/>
              <w:jc w:val="left"/>
              <w:rPr>
                <w:b/>
                <w:bCs/>
                <w:sz w:val="24"/>
                <w:szCs w:val="21"/>
              </w:rPr>
            </w:pPr>
            <w:r>
              <w:rPr>
                <w:b/>
                <w:bCs/>
                <w:sz w:val="24"/>
                <w:szCs w:val="21"/>
              </w:rPr>
              <w:t>3.3 声环境质量现状</w:t>
            </w:r>
          </w:p>
          <w:p w14:paraId="3C0C3607">
            <w:pPr>
              <w:spacing w:line="360" w:lineRule="auto"/>
              <w:ind w:firstLine="480" w:firstLineChars="200"/>
              <w:rPr>
                <w:sz w:val="24"/>
              </w:rPr>
            </w:pPr>
            <w:r>
              <w:rPr>
                <w:rFonts w:hint="eastAsia"/>
                <w:sz w:val="24"/>
                <w:szCs w:val="21"/>
              </w:rPr>
              <w:t>本</w:t>
            </w:r>
            <w:r>
              <w:rPr>
                <w:sz w:val="24"/>
                <w:szCs w:val="21"/>
              </w:rPr>
              <w:t>项目50米范围</w:t>
            </w:r>
            <w:r>
              <w:rPr>
                <w:rFonts w:hint="eastAsia"/>
                <w:sz w:val="24"/>
                <w:szCs w:val="21"/>
              </w:rPr>
              <w:t>内存在</w:t>
            </w:r>
            <w:r>
              <w:rPr>
                <w:sz w:val="24"/>
                <w:szCs w:val="21"/>
              </w:rPr>
              <w:t>声环境</w:t>
            </w:r>
            <w:r>
              <w:rPr>
                <w:rFonts w:hint="eastAsia"/>
                <w:sz w:val="24"/>
                <w:szCs w:val="21"/>
              </w:rPr>
              <w:t>保护</w:t>
            </w:r>
            <w:r>
              <w:rPr>
                <w:sz w:val="24"/>
                <w:szCs w:val="21"/>
              </w:rPr>
              <w:t>目标</w:t>
            </w:r>
            <w:r>
              <w:rPr>
                <w:rFonts w:hint="eastAsia"/>
                <w:sz w:val="24"/>
                <w:szCs w:val="21"/>
              </w:rPr>
              <w:t>，进行了声环境质量现状监测</w:t>
            </w:r>
            <w:r>
              <w:rPr>
                <w:sz w:val="24"/>
                <w:szCs w:val="21"/>
              </w:rPr>
              <w:t>。</w:t>
            </w:r>
            <w:r>
              <w:rPr>
                <w:rFonts w:hint="eastAsia"/>
                <w:sz w:val="24"/>
              </w:rPr>
              <w:t>山西鸿升工贸能源有限责任公司委托山西禄久泽检测技术有限责任公司2</w:t>
            </w:r>
            <w:r>
              <w:rPr>
                <w:sz w:val="24"/>
              </w:rPr>
              <w:t>02</w:t>
            </w:r>
            <w:r>
              <w:rPr>
                <w:rFonts w:hint="eastAsia"/>
                <w:sz w:val="24"/>
              </w:rPr>
              <w:t>4年</w:t>
            </w:r>
            <w:r>
              <w:rPr>
                <w:sz w:val="24"/>
              </w:rPr>
              <w:t>7</w:t>
            </w:r>
            <w:r>
              <w:rPr>
                <w:rFonts w:hint="eastAsia"/>
                <w:sz w:val="24"/>
              </w:rPr>
              <w:t>月</w:t>
            </w:r>
            <w:r>
              <w:rPr>
                <w:sz w:val="24"/>
              </w:rPr>
              <w:t>24</w:t>
            </w:r>
            <w:r>
              <w:rPr>
                <w:rFonts w:hint="eastAsia"/>
                <w:sz w:val="24"/>
              </w:rPr>
              <w:t>日对本项目等效A声级（Leq）进行了噪声现状监测（见附件5）。噪声监测地点为呼家湾村，噪声监测点位见图</w:t>
            </w:r>
            <w:r>
              <w:rPr>
                <w:sz w:val="24"/>
              </w:rPr>
              <w:t>3-2</w:t>
            </w:r>
            <w:r>
              <w:rPr>
                <w:rFonts w:hint="eastAsia"/>
                <w:sz w:val="24"/>
              </w:rPr>
              <w:t>。声环境现状监测结果如下表3-3。</w:t>
            </w:r>
          </w:p>
          <w:p w14:paraId="3B818834">
            <w:pPr>
              <w:spacing w:line="360" w:lineRule="auto"/>
              <w:jc w:val="center"/>
              <w:rPr>
                <w:b/>
                <w:bCs/>
                <w:szCs w:val="18"/>
              </w:rPr>
            </w:pPr>
            <w:r>
              <w:rPr>
                <w:rFonts w:hint="eastAsia"/>
                <w:b/>
                <w:bCs/>
                <w:szCs w:val="18"/>
              </w:rPr>
              <w:t>表</w:t>
            </w:r>
            <w:r>
              <w:rPr>
                <w:b/>
                <w:bCs/>
                <w:szCs w:val="18"/>
              </w:rPr>
              <w:t>3</w:t>
            </w:r>
            <w:r>
              <w:rPr>
                <w:rFonts w:hint="eastAsia"/>
                <w:b/>
                <w:bCs/>
                <w:szCs w:val="18"/>
              </w:rPr>
              <w:t>-</w:t>
            </w:r>
            <w:r>
              <w:rPr>
                <w:b/>
                <w:bCs/>
                <w:szCs w:val="18"/>
              </w:rPr>
              <w:t xml:space="preserve">3 </w:t>
            </w:r>
            <w:r>
              <w:rPr>
                <w:rFonts w:hint="eastAsia"/>
                <w:b/>
                <w:bCs/>
                <w:szCs w:val="18"/>
              </w:rPr>
              <w:t xml:space="preserve"> 声环境现状监测及评价结果表 </w:t>
            </w:r>
            <w:r>
              <w:rPr>
                <w:b/>
                <w:bCs/>
                <w:szCs w:val="18"/>
              </w:rPr>
              <w:t>dB</w:t>
            </w:r>
            <w:r>
              <w:rPr>
                <w:rFonts w:hint="eastAsia"/>
                <w:b/>
                <w:bCs/>
                <w:szCs w:val="18"/>
              </w:rPr>
              <w:t>（</w:t>
            </w:r>
            <w:r>
              <w:rPr>
                <w:b/>
                <w:bCs/>
                <w:szCs w:val="18"/>
              </w:rPr>
              <w:t>A</w:t>
            </w:r>
            <w:r>
              <w:rPr>
                <w:rFonts w:hint="eastAsia"/>
                <w:b/>
                <w:bCs/>
                <w:szCs w:val="18"/>
              </w:rPr>
              <w:t>）</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313"/>
              <w:gridCol w:w="1605"/>
              <w:gridCol w:w="1167"/>
              <w:gridCol w:w="1167"/>
              <w:gridCol w:w="729"/>
              <w:gridCol w:w="1231"/>
            </w:tblGrid>
            <w:tr w14:paraId="60C57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6" w:type="pct"/>
                  <w:vAlign w:val="center"/>
                </w:tcPr>
                <w:p w14:paraId="73530EAD">
                  <w:pPr>
                    <w:jc w:val="center"/>
                    <w:rPr>
                      <w:szCs w:val="18"/>
                    </w:rPr>
                  </w:pPr>
                  <w:r>
                    <w:rPr>
                      <w:rFonts w:hint="eastAsia"/>
                      <w:szCs w:val="18"/>
                    </w:rPr>
                    <w:t>监测日期</w:t>
                  </w:r>
                </w:p>
              </w:tc>
              <w:tc>
                <w:tcPr>
                  <w:tcW w:w="785" w:type="pct"/>
                  <w:vAlign w:val="center"/>
                </w:tcPr>
                <w:p w14:paraId="5466F03E">
                  <w:pPr>
                    <w:jc w:val="center"/>
                    <w:rPr>
                      <w:szCs w:val="18"/>
                    </w:rPr>
                  </w:pPr>
                  <w:r>
                    <w:rPr>
                      <w:rFonts w:hint="eastAsia"/>
                      <w:szCs w:val="18"/>
                    </w:rPr>
                    <w:t>监测地点</w:t>
                  </w:r>
                </w:p>
              </w:tc>
              <w:tc>
                <w:tcPr>
                  <w:tcW w:w="960" w:type="pct"/>
                  <w:vAlign w:val="center"/>
                </w:tcPr>
                <w:p w14:paraId="0C1B5BDC">
                  <w:pPr>
                    <w:jc w:val="center"/>
                    <w:rPr>
                      <w:szCs w:val="18"/>
                    </w:rPr>
                  </w:pPr>
                  <w:r>
                    <w:rPr>
                      <w:rFonts w:hint="eastAsia"/>
                      <w:szCs w:val="18"/>
                    </w:rPr>
                    <w:t>监测项目</w:t>
                  </w:r>
                </w:p>
              </w:tc>
              <w:tc>
                <w:tcPr>
                  <w:tcW w:w="698" w:type="pct"/>
                  <w:vAlign w:val="center"/>
                </w:tcPr>
                <w:p w14:paraId="109FB887">
                  <w:pPr>
                    <w:jc w:val="center"/>
                    <w:rPr>
                      <w:szCs w:val="18"/>
                    </w:rPr>
                  </w:pPr>
                  <w:r>
                    <w:rPr>
                      <w:rFonts w:hint="eastAsia"/>
                      <w:szCs w:val="18"/>
                    </w:rPr>
                    <w:t>昼间</w:t>
                  </w:r>
                </w:p>
              </w:tc>
              <w:tc>
                <w:tcPr>
                  <w:tcW w:w="698" w:type="pct"/>
                  <w:vAlign w:val="center"/>
                </w:tcPr>
                <w:p w14:paraId="5A76CFF5">
                  <w:pPr>
                    <w:jc w:val="center"/>
                    <w:rPr>
                      <w:szCs w:val="18"/>
                    </w:rPr>
                  </w:pPr>
                  <w:r>
                    <w:rPr>
                      <w:rFonts w:hint="eastAsia"/>
                      <w:szCs w:val="18"/>
                    </w:rPr>
                    <w:t>达标情况</w:t>
                  </w:r>
                </w:p>
              </w:tc>
              <w:tc>
                <w:tcPr>
                  <w:tcW w:w="436" w:type="pct"/>
                  <w:vAlign w:val="center"/>
                </w:tcPr>
                <w:p w14:paraId="1B14DDB2">
                  <w:pPr>
                    <w:jc w:val="center"/>
                    <w:rPr>
                      <w:szCs w:val="18"/>
                    </w:rPr>
                  </w:pPr>
                  <w:r>
                    <w:rPr>
                      <w:rFonts w:hint="eastAsia"/>
                      <w:szCs w:val="18"/>
                    </w:rPr>
                    <w:t>夜间</w:t>
                  </w:r>
                </w:p>
              </w:tc>
              <w:tc>
                <w:tcPr>
                  <w:tcW w:w="736" w:type="pct"/>
                  <w:vAlign w:val="center"/>
                </w:tcPr>
                <w:p w14:paraId="0A89BA87">
                  <w:pPr>
                    <w:jc w:val="center"/>
                    <w:rPr>
                      <w:szCs w:val="18"/>
                    </w:rPr>
                  </w:pPr>
                  <w:r>
                    <w:rPr>
                      <w:rFonts w:hint="eastAsia"/>
                      <w:szCs w:val="18"/>
                    </w:rPr>
                    <w:t>达标情况</w:t>
                  </w:r>
                </w:p>
              </w:tc>
            </w:tr>
            <w:tr w14:paraId="20C70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6" w:type="pct"/>
                  <w:vAlign w:val="center"/>
                </w:tcPr>
                <w:p w14:paraId="1375E4C7">
                  <w:pPr>
                    <w:jc w:val="center"/>
                    <w:rPr>
                      <w:szCs w:val="18"/>
                    </w:rPr>
                  </w:pPr>
                  <w:r>
                    <w:rPr>
                      <w:rFonts w:hint="eastAsia"/>
                      <w:szCs w:val="18"/>
                    </w:rPr>
                    <w:t>2024.7.24</w:t>
                  </w:r>
                </w:p>
              </w:tc>
              <w:tc>
                <w:tcPr>
                  <w:tcW w:w="785" w:type="pct"/>
                  <w:vAlign w:val="center"/>
                </w:tcPr>
                <w:p w14:paraId="2CD65859">
                  <w:pPr>
                    <w:jc w:val="center"/>
                    <w:rPr>
                      <w:szCs w:val="18"/>
                    </w:rPr>
                  </w:pPr>
                  <w:r>
                    <w:rPr>
                      <w:rFonts w:hint="eastAsia"/>
                      <w:szCs w:val="18"/>
                    </w:rPr>
                    <w:t>1#呼家湾村</w:t>
                  </w:r>
                </w:p>
              </w:tc>
              <w:tc>
                <w:tcPr>
                  <w:tcW w:w="960" w:type="pct"/>
                  <w:vAlign w:val="center"/>
                </w:tcPr>
                <w:p w14:paraId="36080EB2">
                  <w:pPr>
                    <w:jc w:val="center"/>
                    <w:rPr>
                      <w:szCs w:val="18"/>
                    </w:rPr>
                  </w:pPr>
                  <w:r>
                    <w:rPr>
                      <w:i/>
                      <w:iCs/>
                      <w:szCs w:val="18"/>
                    </w:rPr>
                    <w:t>L</w:t>
                  </w:r>
                  <w:r>
                    <w:rPr>
                      <w:szCs w:val="18"/>
                    </w:rPr>
                    <w:t>eq</w:t>
                  </w:r>
                  <w:r>
                    <w:rPr>
                      <w:rFonts w:hint="eastAsia"/>
                      <w:szCs w:val="18"/>
                    </w:rPr>
                    <w:t>（A）</w:t>
                  </w:r>
                </w:p>
              </w:tc>
              <w:tc>
                <w:tcPr>
                  <w:tcW w:w="698" w:type="pct"/>
                  <w:vAlign w:val="center"/>
                </w:tcPr>
                <w:p w14:paraId="6E289DA0">
                  <w:pPr>
                    <w:jc w:val="center"/>
                    <w:rPr>
                      <w:szCs w:val="18"/>
                    </w:rPr>
                  </w:pPr>
                  <w:r>
                    <w:rPr>
                      <w:rFonts w:hint="eastAsia"/>
                      <w:color w:val="000000"/>
                      <w:szCs w:val="21"/>
                    </w:rPr>
                    <w:t>49.1</w:t>
                  </w:r>
                </w:p>
              </w:tc>
              <w:tc>
                <w:tcPr>
                  <w:tcW w:w="698" w:type="pct"/>
                  <w:vAlign w:val="center"/>
                </w:tcPr>
                <w:p w14:paraId="2733F099">
                  <w:pPr>
                    <w:jc w:val="center"/>
                    <w:rPr>
                      <w:color w:val="000000"/>
                      <w:szCs w:val="21"/>
                    </w:rPr>
                  </w:pPr>
                  <w:r>
                    <w:rPr>
                      <w:rFonts w:hint="eastAsia"/>
                      <w:color w:val="000000"/>
                      <w:szCs w:val="21"/>
                    </w:rPr>
                    <w:t>达标</w:t>
                  </w:r>
                </w:p>
              </w:tc>
              <w:tc>
                <w:tcPr>
                  <w:tcW w:w="436" w:type="pct"/>
                  <w:vAlign w:val="center"/>
                </w:tcPr>
                <w:p w14:paraId="0EA1DF99">
                  <w:pPr>
                    <w:jc w:val="center"/>
                    <w:rPr>
                      <w:szCs w:val="18"/>
                    </w:rPr>
                  </w:pPr>
                  <w:r>
                    <w:rPr>
                      <w:rFonts w:hint="eastAsia"/>
                      <w:color w:val="000000"/>
                      <w:szCs w:val="21"/>
                    </w:rPr>
                    <w:t>40.2</w:t>
                  </w:r>
                </w:p>
              </w:tc>
              <w:tc>
                <w:tcPr>
                  <w:tcW w:w="736" w:type="pct"/>
                  <w:vAlign w:val="center"/>
                </w:tcPr>
                <w:p w14:paraId="730BA507">
                  <w:pPr>
                    <w:jc w:val="center"/>
                    <w:rPr>
                      <w:szCs w:val="18"/>
                    </w:rPr>
                  </w:pPr>
                  <w:r>
                    <w:rPr>
                      <w:rFonts w:hint="eastAsia"/>
                      <w:color w:val="000000"/>
                      <w:szCs w:val="21"/>
                    </w:rPr>
                    <w:t>达标</w:t>
                  </w:r>
                </w:p>
              </w:tc>
            </w:tr>
          </w:tbl>
          <w:p w14:paraId="0DDBD04F">
            <w:pPr>
              <w:spacing w:line="360" w:lineRule="auto"/>
              <w:ind w:firstLine="480" w:firstLineChars="200"/>
              <w:rPr>
                <w:sz w:val="24"/>
              </w:rPr>
            </w:pPr>
            <w:r>
              <w:rPr>
                <w:rFonts w:hint="eastAsia"/>
                <w:sz w:val="24"/>
                <w:szCs w:val="21"/>
              </w:rPr>
              <w:t>根据表</w:t>
            </w:r>
            <w:r>
              <w:rPr>
                <w:rFonts w:hint="eastAsia"/>
                <w:sz w:val="24"/>
              </w:rPr>
              <w:t>从表3</w:t>
            </w:r>
            <w:r>
              <w:rPr>
                <w:sz w:val="24"/>
              </w:rPr>
              <w:t>-</w:t>
            </w:r>
            <w:r>
              <w:rPr>
                <w:rFonts w:hint="eastAsia"/>
                <w:sz w:val="24"/>
              </w:rPr>
              <w:t>3可以看出保护目标声环境现状监测达标。</w:t>
            </w:r>
          </w:p>
          <w:p w14:paraId="44D31A66">
            <w:pPr>
              <w:spacing w:line="360" w:lineRule="auto"/>
              <w:jc w:val="center"/>
              <w:rPr>
                <w:b/>
                <w:bCs/>
                <w:szCs w:val="21"/>
              </w:rPr>
            </w:pPr>
            <w:r>
              <w:rPr>
                <w:rFonts w:hint="eastAsia"/>
                <w:sz w:val="24"/>
              </w:rPr>
              <w:drawing>
                <wp:inline distT="0" distB="0" distL="0" distR="0">
                  <wp:extent cx="4953635" cy="2966085"/>
                  <wp:effectExtent l="0" t="0" r="0" b="5715"/>
                  <wp:docPr id="759591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9132" name="图片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959371" cy="2969726"/>
                          </a:xfrm>
                          <a:prstGeom prst="rect">
                            <a:avLst/>
                          </a:prstGeom>
                        </pic:spPr>
                      </pic:pic>
                    </a:graphicData>
                  </a:graphic>
                </wp:inline>
              </w:drawing>
            </w:r>
          </w:p>
          <w:p w14:paraId="71A8A1A1">
            <w:pPr>
              <w:spacing w:line="360" w:lineRule="auto"/>
              <w:jc w:val="center"/>
              <w:rPr>
                <w:b/>
                <w:bCs/>
                <w:sz w:val="24"/>
                <w:szCs w:val="21"/>
              </w:rPr>
            </w:pPr>
            <w:r>
              <w:rPr>
                <w:rFonts w:hint="eastAsia"/>
                <w:b/>
                <w:bCs/>
                <w:szCs w:val="21"/>
              </w:rPr>
              <w:t>图</w:t>
            </w:r>
            <w:r>
              <w:rPr>
                <w:b/>
                <w:bCs/>
                <w:szCs w:val="21"/>
              </w:rPr>
              <w:t xml:space="preserve">3-2  </w:t>
            </w:r>
            <w:r>
              <w:rPr>
                <w:rFonts w:hint="eastAsia"/>
                <w:b/>
                <w:bCs/>
                <w:szCs w:val="21"/>
              </w:rPr>
              <w:t>噪声监测点位示意图</w:t>
            </w:r>
          </w:p>
          <w:p w14:paraId="6D4D90E0">
            <w:pPr>
              <w:spacing w:line="360" w:lineRule="auto"/>
              <w:jc w:val="left"/>
              <w:rPr>
                <w:b/>
                <w:bCs/>
                <w:sz w:val="24"/>
                <w:szCs w:val="21"/>
              </w:rPr>
            </w:pPr>
            <w:r>
              <w:rPr>
                <w:b/>
                <w:bCs/>
                <w:sz w:val="24"/>
                <w:szCs w:val="21"/>
              </w:rPr>
              <w:t xml:space="preserve">3.4 </w:t>
            </w:r>
            <w:r>
              <w:rPr>
                <w:rFonts w:hint="eastAsia"/>
                <w:b/>
                <w:bCs/>
                <w:sz w:val="24"/>
                <w:szCs w:val="21"/>
              </w:rPr>
              <w:t>生态</w:t>
            </w:r>
            <w:r>
              <w:rPr>
                <w:b/>
                <w:bCs/>
                <w:sz w:val="24"/>
                <w:szCs w:val="21"/>
              </w:rPr>
              <w:t>质量现状</w:t>
            </w:r>
          </w:p>
          <w:p w14:paraId="53BBD716">
            <w:pPr>
              <w:adjustRightInd w:val="0"/>
              <w:snapToGrid w:val="0"/>
              <w:spacing w:line="360" w:lineRule="auto"/>
              <w:ind w:firstLine="480" w:firstLineChars="200"/>
              <w:rPr>
                <w:rFonts w:hint="eastAsia" w:ascii="宋体" w:hAnsi="宋体" w:cs="宋体"/>
                <w:kern w:val="0"/>
                <w:szCs w:val="21"/>
              </w:rPr>
            </w:pPr>
            <w:r>
              <w:rPr>
                <w:rFonts w:hint="eastAsia" w:cs="宋体"/>
                <w:sz w:val="24"/>
                <w:szCs w:val="21"/>
              </w:rPr>
              <w:t>本项目厂址位于山西省吕梁市方山县峪口镇呼家湾村，项目区域内生物多样性程度较低，调查未发现有需要特殊保护的动植物资源。</w:t>
            </w:r>
          </w:p>
        </w:tc>
      </w:tr>
      <w:tr w14:paraId="0F30D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236" w:type="dxa"/>
            <w:vAlign w:val="center"/>
          </w:tcPr>
          <w:p w14:paraId="2CCFE542">
            <w:pPr>
              <w:adjustRightInd w:val="0"/>
              <w:snapToGrid w:val="0"/>
              <w:jc w:val="center"/>
              <w:rPr>
                <w:rFonts w:hint="eastAsia" w:ascii="宋体" w:hAnsi="宋体" w:cs="宋体"/>
                <w:kern w:val="0"/>
                <w:sz w:val="24"/>
              </w:rPr>
            </w:pPr>
            <w:r>
              <w:rPr>
                <w:rFonts w:hint="eastAsia" w:ascii="宋体" w:hAnsi="宋体" w:cs="宋体"/>
                <w:kern w:val="0"/>
                <w:sz w:val="24"/>
              </w:rPr>
              <w:t>环境</w:t>
            </w:r>
          </w:p>
          <w:p w14:paraId="3E9AD0FF">
            <w:pPr>
              <w:adjustRightInd w:val="0"/>
              <w:snapToGrid w:val="0"/>
              <w:jc w:val="center"/>
              <w:rPr>
                <w:rFonts w:hint="eastAsia" w:ascii="宋体" w:hAnsi="宋体" w:cs="宋体"/>
                <w:kern w:val="0"/>
                <w:sz w:val="24"/>
              </w:rPr>
            </w:pPr>
            <w:r>
              <w:rPr>
                <w:rFonts w:hint="eastAsia" w:ascii="宋体" w:hAnsi="宋体" w:cs="宋体"/>
                <w:kern w:val="0"/>
                <w:sz w:val="24"/>
              </w:rPr>
              <w:t>保护</w:t>
            </w:r>
          </w:p>
          <w:p w14:paraId="54508D12">
            <w:pPr>
              <w:adjustRightInd w:val="0"/>
              <w:snapToGrid w:val="0"/>
              <w:jc w:val="center"/>
              <w:rPr>
                <w:rFonts w:hint="eastAsia" w:ascii="宋体" w:hAnsi="宋体" w:cs="宋体"/>
                <w:kern w:val="0"/>
                <w:sz w:val="24"/>
              </w:rPr>
            </w:pPr>
            <w:r>
              <w:rPr>
                <w:rFonts w:hint="eastAsia" w:ascii="宋体" w:hAnsi="宋体" w:cs="宋体"/>
                <w:kern w:val="0"/>
                <w:sz w:val="24"/>
              </w:rPr>
              <w:t>目标</w:t>
            </w:r>
          </w:p>
        </w:tc>
        <w:tc>
          <w:tcPr>
            <w:tcW w:w="8754" w:type="dxa"/>
            <w:vAlign w:val="center"/>
          </w:tcPr>
          <w:p w14:paraId="3140BB7D">
            <w:pPr>
              <w:pStyle w:val="20"/>
              <w:adjustRightInd w:val="0"/>
              <w:snapToGrid w:val="0"/>
              <w:spacing w:line="360" w:lineRule="auto"/>
              <w:rPr>
                <w:rFonts w:ascii="Times New Roman" w:hAnsi="Times New Roman"/>
                <w:b/>
                <w:bCs/>
                <w:sz w:val="24"/>
              </w:rPr>
            </w:pPr>
            <w:r>
              <w:rPr>
                <w:rFonts w:hint="eastAsia" w:ascii="Times New Roman" w:hAnsi="Times New Roman"/>
                <w:b/>
                <w:bCs/>
                <w:sz w:val="24"/>
              </w:rPr>
              <w:t>3</w:t>
            </w:r>
            <w:r>
              <w:rPr>
                <w:rFonts w:ascii="Times New Roman" w:hAnsi="Times New Roman"/>
                <w:b/>
                <w:bCs/>
                <w:sz w:val="24"/>
              </w:rPr>
              <w:t xml:space="preserve">.5 </w:t>
            </w:r>
            <w:r>
              <w:rPr>
                <w:rFonts w:hint="eastAsia" w:ascii="Times New Roman" w:hAnsi="Times New Roman"/>
                <w:b/>
                <w:bCs/>
                <w:sz w:val="24"/>
              </w:rPr>
              <w:t>环境保护目标</w:t>
            </w:r>
          </w:p>
          <w:p w14:paraId="1B657CFC">
            <w:pPr>
              <w:pStyle w:val="20"/>
              <w:adjustRightInd w:val="0"/>
              <w:snapToGrid w:val="0"/>
              <w:spacing w:line="360" w:lineRule="auto"/>
              <w:rPr>
                <w:rFonts w:ascii="Times New Roman" w:hAnsi="Times New Roman"/>
                <w:b/>
                <w:bCs/>
                <w:color w:val="FF0000"/>
                <w:sz w:val="24"/>
              </w:rPr>
            </w:pPr>
            <w:r>
              <w:rPr>
                <w:rFonts w:hint="eastAsia" w:ascii="Times New Roman" w:hAnsi="Times New Roman"/>
                <w:b/>
                <w:bCs/>
                <w:sz w:val="24"/>
              </w:rPr>
              <w:t>3.5.1大气环境</w:t>
            </w:r>
          </w:p>
          <w:p w14:paraId="1F788978">
            <w:pPr>
              <w:pStyle w:val="2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厂界外</w:t>
            </w:r>
            <w:r>
              <w:rPr>
                <w:rFonts w:ascii="Times New Roman" w:hAnsi="Times New Roman"/>
                <w:sz w:val="24"/>
              </w:rPr>
              <w:t>500m</w:t>
            </w:r>
            <w:r>
              <w:rPr>
                <w:rFonts w:hint="eastAsia" w:ascii="Times New Roman" w:hAnsi="Times New Roman"/>
                <w:sz w:val="24"/>
              </w:rPr>
              <w:t>范围内无自然保护区、风景名胜区、文化区等保护目标，厂界外500m范围内存在农村地区中人群较集中的区域保护目标。</w:t>
            </w:r>
          </w:p>
          <w:p w14:paraId="6E3E83BA">
            <w:pPr>
              <w:pStyle w:val="20"/>
              <w:adjustRightInd w:val="0"/>
              <w:snapToGrid w:val="0"/>
              <w:spacing w:line="360" w:lineRule="auto"/>
              <w:jc w:val="center"/>
              <w:rPr>
                <w:rFonts w:ascii="Times New Roman" w:hAnsi="Times New Roman"/>
                <w:b/>
                <w:bCs/>
                <w:szCs w:val="21"/>
              </w:rPr>
            </w:pPr>
            <w:r>
              <w:rPr>
                <w:rFonts w:hint="eastAsia" w:ascii="Times New Roman" w:hAnsi="Times New Roman"/>
                <w:b/>
                <w:bCs/>
                <w:szCs w:val="21"/>
              </w:rPr>
              <w:t>表3-4 环境空气保护目标表</w:t>
            </w:r>
          </w:p>
          <w:tbl>
            <w:tblPr>
              <w:tblStyle w:val="39"/>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39"/>
              <w:gridCol w:w="2054"/>
              <w:gridCol w:w="2054"/>
              <w:gridCol w:w="1557"/>
              <w:gridCol w:w="1555"/>
            </w:tblGrid>
            <w:tr w14:paraId="47BC4F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13" w:type="pct"/>
                  <w:vMerge w:val="restart"/>
                  <w:shd w:val="clear" w:color="auto" w:fill="auto"/>
                  <w:vAlign w:val="center"/>
                </w:tcPr>
                <w:p w14:paraId="6F506D2E">
                  <w:pPr>
                    <w:widowControl/>
                    <w:jc w:val="center"/>
                    <w:rPr>
                      <w:color w:val="000000"/>
                      <w:kern w:val="0"/>
                      <w:szCs w:val="21"/>
                    </w:rPr>
                  </w:pPr>
                  <w:r>
                    <w:rPr>
                      <w:color w:val="000000"/>
                      <w:kern w:val="0"/>
                      <w:szCs w:val="21"/>
                    </w:rPr>
                    <w:t>保护目标</w:t>
                  </w:r>
                </w:p>
                <w:p w14:paraId="7B796C3A">
                  <w:pPr>
                    <w:widowControl/>
                    <w:jc w:val="center"/>
                    <w:rPr>
                      <w:color w:val="000000"/>
                      <w:kern w:val="0"/>
                      <w:szCs w:val="21"/>
                    </w:rPr>
                  </w:pPr>
                  <w:r>
                    <w:rPr>
                      <w:color w:val="000000"/>
                      <w:kern w:val="0"/>
                      <w:szCs w:val="21"/>
                    </w:rPr>
                    <w:t>名称</w:t>
                  </w:r>
                </w:p>
              </w:tc>
              <w:tc>
                <w:tcPr>
                  <w:tcW w:w="2062" w:type="pct"/>
                  <w:gridSpan w:val="2"/>
                  <w:shd w:val="clear" w:color="auto" w:fill="auto"/>
                  <w:vAlign w:val="center"/>
                </w:tcPr>
                <w:p w14:paraId="7C39EA46">
                  <w:pPr>
                    <w:widowControl/>
                    <w:jc w:val="center"/>
                    <w:rPr>
                      <w:color w:val="000000"/>
                      <w:kern w:val="0"/>
                      <w:szCs w:val="21"/>
                    </w:rPr>
                  </w:pPr>
                  <w:r>
                    <w:rPr>
                      <w:rFonts w:hint="eastAsia"/>
                      <w:color w:val="000000"/>
                      <w:kern w:val="0"/>
                      <w:szCs w:val="21"/>
                    </w:rPr>
                    <w:t>经纬度</w:t>
                  </w:r>
                </w:p>
              </w:tc>
              <w:tc>
                <w:tcPr>
                  <w:tcW w:w="1063" w:type="pct"/>
                  <w:vMerge w:val="restart"/>
                  <w:vAlign w:val="center"/>
                </w:tcPr>
                <w:p w14:paraId="54DD6D59">
                  <w:pPr>
                    <w:widowControl/>
                    <w:jc w:val="center"/>
                    <w:rPr>
                      <w:color w:val="FF0000"/>
                      <w:kern w:val="0"/>
                      <w:szCs w:val="21"/>
                    </w:rPr>
                  </w:pPr>
                  <w:r>
                    <w:rPr>
                      <w:rFonts w:hint="eastAsia"/>
                      <w:kern w:val="0"/>
                      <w:szCs w:val="21"/>
                    </w:rPr>
                    <w:t>相对方位</w:t>
                  </w:r>
                </w:p>
              </w:tc>
              <w:tc>
                <w:tcPr>
                  <w:tcW w:w="1062" w:type="pct"/>
                  <w:vMerge w:val="restart"/>
                  <w:shd w:val="clear" w:color="auto" w:fill="auto"/>
                  <w:vAlign w:val="center"/>
                </w:tcPr>
                <w:p w14:paraId="4DB8DB27">
                  <w:pPr>
                    <w:widowControl/>
                    <w:jc w:val="center"/>
                    <w:rPr>
                      <w:color w:val="000000"/>
                      <w:kern w:val="0"/>
                      <w:szCs w:val="21"/>
                    </w:rPr>
                  </w:pPr>
                  <w:r>
                    <w:rPr>
                      <w:color w:val="000000"/>
                      <w:kern w:val="0"/>
                      <w:szCs w:val="21"/>
                    </w:rPr>
                    <w:t>相对厂界距离/m</w:t>
                  </w:r>
                </w:p>
              </w:tc>
            </w:tr>
            <w:tr w14:paraId="40E51F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13" w:type="pct"/>
                  <w:vMerge w:val="continue"/>
                  <w:vAlign w:val="center"/>
                </w:tcPr>
                <w:p w14:paraId="1E47422F">
                  <w:pPr>
                    <w:widowControl/>
                    <w:jc w:val="center"/>
                    <w:rPr>
                      <w:color w:val="000000"/>
                      <w:kern w:val="0"/>
                      <w:szCs w:val="21"/>
                    </w:rPr>
                  </w:pPr>
                </w:p>
              </w:tc>
              <w:tc>
                <w:tcPr>
                  <w:tcW w:w="1004" w:type="pct"/>
                  <w:shd w:val="clear" w:color="auto" w:fill="auto"/>
                  <w:vAlign w:val="center"/>
                </w:tcPr>
                <w:p w14:paraId="2EC2BA20">
                  <w:pPr>
                    <w:widowControl/>
                    <w:jc w:val="center"/>
                    <w:rPr>
                      <w:color w:val="000000"/>
                      <w:kern w:val="0"/>
                      <w:szCs w:val="21"/>
                    </w:rPr>
                  </w:pPr>
                  <w:r>
                    <w:rPr>
                      <w:rFonts w:hint="eastAsia"/>
                      <w:color w:val="000000"/>
                      <w:kern w:val="0"/>
                      <w:szCs w:val="21"/>
                    </w:rPr>
                    <w:t>经度</w:t>
                  </w:r>
                </w:p>
              </w:tc>
              <w:tc>
                <w:tcPr>
                  <w:tcW w:w="1058" w:type="pct"/>
                  <w:shd w:val="clear" w:color="auto" w:fill="auto"/>
                  <w:vAlign w:val="center"/>
                </w:tcPr>
                <w:p w14:paraId="7F6B282D">
                  <w:pPr>
                    <w:widowControl/>
                    <w:jc w:val="center"/>
                    <w:rPr>
                      <w:color w:val="000000"/>
                      <w:kern w:val="0"/>
                      <w:szCs w:val="21"/>
                    </w:rPr>
                  </w:pPr>
                  <w:r>
                    <w:rPr>
                      <w:rFonts w:hint="eastAsia"/>
                      <w:color w:val="000000"/>
                      <w:kern w:val="0"/>
                      <w:szCs w:val="21"/>
                    </w:rPr>
                    <w:t>纬度</w:t>
                  </w:r>
                </w:p>
              </w:tc>
              <w:tc>
                <w:tcPr>
                  <w:tcW w:w="1063" w:type="pct"/>
                  <w:vMerge w:val="continue"/>
                  <w:vAlign w:val="center"/>
                </w:tcPr>
                <w:p w14:paraId="4CF13C49">
                  <w:pPr>
                    <w:widowControl/>
                    <w:jc w:val="center"/>
                    <w:rPr>
                      <w:color w:val="FF0000"/>
                      <w:kern w:val="0"/>
                      <w:szCs w:val="21"/>
                    </w:rPr>
                  </w:pPr>
                </w:p>
              </w:tc>
              <w:tc>
                <w:tcPr>
                  <w:tcW w:w="1062" w:type="pct"/>
                  <w:vMerge w:val="continue"/>
                  <w:vAlign w:val="center"/>
                </w:tcPr>
                <w:p w14:paraId="5DA292C3">
                  <w:pPr>
                    <w:widowControl/>
                    <w:jc w:val="center"/>
                    <w:rPr>
                      <w:color w:val="000000"/>
                      <w:kern w:val="0"/>
                      <w:szCs w:val="21"/>
                    </w:rPr>
                  </w:pPr>
                </w:p>
              </w:tc>
            </w:tr>
            <w:tr w14:paraId="0BBC7A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13" w:type="pct"/>
                  <w:shd w:val="clear" w:color="auto" w:fill="auto"/>
                  <w:vAlign w:val="center"/>
                </w:tcPr>
                <w:p w14:paraId="30EEAC5C">
                  <w:pPr>
                    <w:widowControl/>
                    <w:jc w:val="center"/>
                    <w:rPr>
                      <w:color w:val="000000"/>
                      <w:kern w:val="0"/>
                      <w:szCs w:val="21"/>
                    </w:rPr>
                  </w:pPr>
                  <w:r>
                    <w:rPr>
                      <w:rFonts w:hint="eastAsia"/>
                      <w:color w:val="000000"/>
                      <w:kern w:val="0"/>
                      <w:szCs w:val="21"/>
                    </w:rPr>
                    <w:t>呼家湾村</w:t>
                  </w:r>
                </w:p>
              </w:tc>
              <w:tc>
                <w:tcPr>
                  <w:tcW w:w="1004" w:type="pct"/>
                  <w:shd w:val="clear" w:color="auto" w:fill="auto"/>
                  <w:vAlign w:val="center"/>
                </w:tcPr>
                <w:p w14:paraId="4F5701AA">
                  <w:pPr>
                    <w:widowControl/>
                    <w:jc w:val="center"/>
                    <w:rPr>
                      <w:color w:val="000000"/>
                      <w:kern w:val="0"/>
                      <w:szCs w:val="21"/>
                    </w:rPr>
                  </w:pPr>
                  <w:r>
                    <w:rPr>
                      <w:rFonts w:hint="eastAsia"/>
                      <w:color w:val="000000"/>
                      <w:kern w:val="0"/>
                      <w:szCs w:val="21"/>
                    </w:rPr>
                    <w:t>111°8′16.33593″</w:t>
                  </w:r>
                </w:p>
              </w:tc>
              <w:tc>
                <w:tcPr>
                  <w:tcW w:w="1058" w:type="pct"/>
                  <w:shd w:val="clear" w:color="auto" w:fill="auto"/>
                  <w:vAlign w:val="center"/>
                </w:tcPr>
                <w:p w14:paraId="57E7B218">
                  <w:pPr>
                    <w:widowControl/>
                    <w:jc w:val="center"/>
                    <w:rPr>
                      <w:rFonts w:eastAsia="Times New Roman"/>
                      <w:kern w:val="0"/>
                      <w:szCs w:val="21"/>
                    </w:rPr>
                  </w:pPr>
                  <w:r>
                    <w:rPr>
                      <w:rFonts w:hint="eastAsia"/>
                      <w:color w:val="000000"/>
                      <w:kern w:val="0"/>
                      <w:szCs w:val="21"/>
                    </w:rPr>
                    <w:t>37°48′22.17498″</w:t>
                  </w:r>
                </w:p>
              </w:tc>
              <w:tc>
                <w:tcPr>
                  <w:tcW w:w="1063" w:type="pct"/>
                  <w:vAlign w:val="center"/>
                </w:tcPr>
                <w:p w14:paraId="6EA82CAA">
                  <w:pPr>
                    <w:widowControl/>
                    <w:jc w:val="center"/>
                    <w:rPr>
                      <w:rFonts w:eastAsiaTheme="minorEastAsia"/>
                      <w:color w:val="FF0000"/>
                      <w:kern w:val="0"/>
                      <w:szCs w:val="21"/>
                    </w:rPr>
                  </w:pPr>
                  <w:r>
                    <w:rPr>
                      <w:rFonts w:hint="eastAsia" w:ascii="宋体" w:hAnsi="宋体"/>
                      <w:kern w:val="0"/>
                      <w:szCs w:val="21"/>
                    </w:rPr>
                    <w:t>西侧厂区的西北方向</w:t>
                  </w:r>
                </w:p>
              </w:tc>
              <w:tc>
                <w:tcPr>
                  <w:tcW w:w="1062" w:type="pct"/>
                  <w:shd w:val="clear" w:color="auto" w:fill="auto"/>
                  <w:vAlign w:val="center"/>
                </w:tcPr>
                <w:p w14:paraId="44C66FD1">
                  <w:pPr>
                    <w:widowControl/>
                    <w:jc w:val="center"/>
                    <w:rPr>
                      <w:rFonts w:eastAsiaTheme="minorEastAsia"/>
                      <w:kern w:val="0"/>
                      <w:szCs w:val="21"/>
                    </w:rPr>
                  </w:pPr>
                  <w:r>
                    <w:rPr>
                      <w:rFonts w:eastAsiaTheme="minorEastAsia"/>
                      <w:kern w:val="0"/>
                      <w:szCs w:val="21"/>
                    </w:rPr>
                    <w:t>47</w:t>
                  </w:r>
                </w:p>
              </w:tc>
            </w:tr>
          </w:tbl>
          <w:p w14:paraId="58BCBDDB">
            <w:pPr>
              <w:pStyle w:val="20"/>
              <w:adjustRightInd w:val="0"/>
              <w:snapToGrid w:val="0"/>
              <w:spacing w:line="360" w:lineRule="auto"/>
              <w:rPr>
                <w:rFonts w:ascii="Times New Roman" w:hAnsi="Times New Roman"/>
                <w:b/>
                <w:bCs/>
                <w:sz w:val="24"/>
              </w:rPr>
            </w:pPr>
            <w:r>
              <w:rPr>
                <w:rFonts w:hint="eastAsia" w:ascii="Times New Roman" w:hAnsi="Times New Roman"/>
                <w:b/>
                <w:bCs/>
                <w:sz w:val="24"/>
              </w:rPr>
              <w:t>3.5.2声环境</w:t>
            </w:r>
          </w:p>
          <w:p w14:paraId="5BCC72AB">
            <w:pPr>
              <w:pStyle w:val="2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厂界外</w:t>
            </w:r>
            <w:r>
              <w:rPr>
                <w:rFonts w:ascii="Times New Roman" w:hAnsi="Times New Roman"/>
                <w:sz w:val="24"/>
              </w:rPr>
              <w:t>50m</w:t>
            </w:r>
            <w:r>
              <w:rPr>
                <w:rFonts w:hint="eastAsia" w:ascii="Times New Roman" w:hAnsi="Times New Roman"/>
                <w:sz w:val="24"/>
              </w:rPr>
              <w:t>范围内存在声环境保护目标。</w:t>
            </w:r>
          </w:p>
          <w:p w14:paraId="4D57EA7A">
            <w:pPr>
              <w:pStyle w:val="20"/>
              <w:adjustRightInd w:val="0"/>
              <w:snapToGrid w:val="0"/>
              <w:spacing w:line="360" w:lineRule="auto"/>
              <w:jc w:val="center"/>
              <w:rPr>
                <w:rFonts w:ascii="Times New Roman" w:hAnsi="Times New Roman"/>
                <w:b/>
                <w:bCs/>
                <w:szCs w:val="21"/>
              </w:rPr>
            </w:pPr>
            <w:r>
              <w:rPr>
                <w:rFonts w:hint="eastAsia" w:ascii="Times New Roman" w:hAnsi="Times New Roman"/>
                <w:b/>
                <w:bCs/>
                <w:szCs w:val="21"/>
              </w:rPr>
              <w:t>表3-5  声环境保护目标表</w:t>
            </w:r>
          </w:p>
          <w:tbl>
            <w:tblPr>
              <w:tblStyle w:val="39"/>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375"/>
              <w:gridCol w:w="2054"/>
              <w:gridCol w:w="2054"/>
              <w:gridCol w:w="1438"/>
              <w:gridCol w:w="1438"/>
            </w:tblGrid>
            <w:tr w14:paraId="6D7B78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6" w:type="pct"/>
                  <w:vMerge w:val="restart"/>
                  <w:shd w:val="clear" w:color="auto" w:fill="auto"/>
                  <w:vAlign w:val="center"/>
                </w:tcPr>
                <w:p w14:paraId="40CB3ACA">
                  <w:pPr>
                    <w:widowControl/>
                    <w:jc w:val="center"/>
                    <w:rPr>
                      <w:color w:val="000000"/>
                      <w:kern w:val="0"/>
                      <w:szCs w:val="21"/>
                    </w:rPr>
                  </w:pPr>
                  <w:r>
                    <w:rPr>
                      <w:color w:val="000000"/>
                      <w:kern w:val="0"/>
                      <w:szCs w:val="21"/>
                    </w:rPr>
                    <w:t>保护目标</w:t>
                  </w:r>
                </w:p>
                <w:p w14:paraId="4F9B2382">
                  <w:pPr>
                    <w:widowControl/>
                    <w:jc w:val="center"/>
                    <w:rPr>
                      <w:color w:val="000000"/>
                      <w:kern w:val="0"/>
                      <w:szCs w:val="21"/>
                    </w:rPr>
                  </w:pPr>
                  <w:r>
                    <w:rPr>
                      <w:color w:val="000000"/>
                      <w:kern w:val="0"/>
                      <w:szCs w:val="21"/>
                    </w:rPr>
                    <w:t>名称</w:t>
                  </w:r>
                </w:p>
              </w:tc>
              <w:tc>
                <w:tcPr>
                  <w:tcW w:w="2058" w:type="pct"/>
                  <w:gridSpan w:val="2"/>
                  <w:shd w:val="clear" w:color="auto" w:fill="auto"/>
                  <w:vAlign w:val="center"/>
                </w:tcPr>
                <w:p w14:paraId="0DAE210D">
                  <w:pPr>
                    <w:widowControl/>
                    <w:jc w:val="center"/>
                    <w:rPr>
                      <w:color w:val="000000"/>
                      <w:kern w:val="0"/>
                      <w:szCs w:val="21"/>
                    </w:rPr>
                  </w:pPr>
                  <w:r>
                    <w:rPr>
                      <w:rFonts w:hint="eastAsia"/>
                      <w:color w:val="000000"/>
                      <w:kern w:val="0"/>
                      <w:szCs w:val="21"/>
                    </w:rPr>
                    <w:t>经纬度</w:t>
                  </w:r>
                </w:p>
              </w:tc>
              <w:tc>
                <w:tcPr>
                  <w:tcW w:w="993" w:type="pct"/>
                  <w:vMerge w:val="restart"/>
                  <w:vAlign w:val="center"/>
                </w:tcPr>
                <w:p w14:paraId="6C3695A2">
                  <w:pPr>
                    <w:widowControl/>
                    <w:jc w:val="center"/>
                    <w:rPr>
                      <w:kern w:val="0"/>
                      <w:szCs w:val="21"/>
                    </w:rPr>
                  </w:pPr>
                  <w:r>
                    <w:rPr>
                      <w:rFonts w:hint="eastAsia"/>
                      <w:kern w:val="0"/>
                      <w:szCs w:val="21"/>
                    </w:rPr>
                    <w:t>相对方位</w:t>
                  </w:r>
                </w:p>
              </w:tc>
              <w:tc>
                <w:tcPr>
                  <w:tcW w:w="993" w:type="pct"/>
                  <w:vMerge w:val="restart"/>
                  <w:shd w:val="clear" w:color="auto" w:fill="auto"/>
                  <w:vAlign w:val="center"/>
                </w:tcPr>
                <w:p w14:paraId="0517649C">
                  <w:pPr>
                    <w:widowControl/>
                    <w:jc w:val="center"/>
                    <w:rPr>
                      <w:kern w:val="0"/>
                      <w:szCs w:val="21"/>
                    </w:rPr>
                  </w:pPr>
                  <w:r>
                    <w:rPr>
                      <w:kern w:val="0"/>
                      <w:szCs w:val="21"/>
                    </w:rPr>
                    <w:t>距厂界最近距离/m</w:t>
                  </w:r>
                </w:p>
              </w:tc>
            </w:tr>
            <w:tr w14:paraId="1DC88A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6" w:type="pct"/>
                  <w:vMerge w:val="continue"/>
                  <w:vAlign w:val="center"/>
                </w:tcPr>
                <w:p w14:paraId="34D56EC4">
                  <w:pPr>
                    <w:widowControl/>
                    <w:jc w:val="center"/>
                    <w:rPr>
                      <w:color w:val="000000"/>
                      <w:kern w:val="0"/>
                      <w:szCs w:val="21"/>
                    </w:rPr>
                  </w:pPr>
                </w:p>
              </w:tc>
              <w:tc>
                <w:tcPr>
                  <w:tcW w:w="1029" w:type="pct"/>
                  <w:shd w:val="clear" w:color="auto" w:fill="auto"/>
                  <w:vAlign w:val="center"/>
                </w:tcPr>
                <w:p w14:paraId="7B07346F">
                  <w:pPr>
                    <w:widowControl/>
                    <w:jc w:val="center"/>
                    <w:rPr>
                      <w:color w:val="000000"/>
                      <w:kern w:val="0"/>
                      <w:szCs w:val="21"/>
                    </w:rPr>
                  </w:pPr>
                  <w:r>
                    <w:rPr>
                      <w:rFonts w:hint="eastAsia"/>
                      <w:color w:val="000000"/>
                      <w:kern w:val="0"/>
                      <w:szCs w:val="21"/>
                    </w:rPr>
                    <w:t>经度</w:t>
                  </w:r>
                </w:p>
              </w:tc>
              <w:tc>
                <w:tcPr>
                  <w:tcW w:w="1029" w:type="pct"/>
                  <w:shd w:val="clear" w:color="auto" w:fill="auto"/>
                  <w:vAlign w:val="center"/>
                </w:tcPr>
                <w:p w14:paraId="5E73815B">
                  <w:pPr>
                    <w:widowControl/>
                    <w:jc w:val="center"/>
                    <w:rPr>
                      <w:color w:val="000000"/>
                      <w:kern w:val="0"/>
                      <w:szCs w:val="21"/>
                    </w:rPr>
                  </w:pPr>
                  <w:r>
                    <w:rPr>
                      <w:rFonts w:hint="eastAsia"/>
                      <w:color w:val="000000"/>
                      <w:kern w:val="0"/>
                      <w:szCs w:val="21"/>
                    </w:rPr>
                    <w:t>纬度</w:t>
                  </w:r>
                </w:p>
              </w:tc>
              <w:tc>
                <w:tcPr>
                  <w:tcW w:w="993" w:type="pct"/>
                  <w:vMerge w:val="continue"/>
                  <w:vAlign w:val="center"/>
                </w:tcPr>
                <w:p w14:paraId="103663CB">
                  <w:pPr>
                    <w:widowControl/>
                    <w:jc w:val="center"/>
                    <w:rPr>
                      <w:kern w:val="0"/>
                      <w:szCs w:val="21"/>
                    </w:rPr>
                  </w:pPr>
                </w:p>
              </w:tc>
              <w:tc>
                <w:tcPr>
                  <w:tcW w:w="993" w:type="pct"/>
                  <w:vMerge w:val="continue"/>
                  <w:vAlign w:val="center"/>
                </w:tcPr>
                <w:p w14:paraId="119F0D29">
                  <w:pPr>
                    <w:widowControl/>
                    <w:jc w:val="center"/>
                    <w:rPr>
                      <w:kern w:val="0"/>
                      <w:szCs w:val="21"/>
                    </w:rPr>
                  </w:pPr>
                </w:p>
              </w:tc>
            </w:tr>
            <w:tr w14:paraId="26EFDB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6" w:type="pct"/>
                  <w:shd w:val="clear" w:color="auto" w:fill="auto"/>
                  <w:vAlign w:val="center"/>
                </w:tcPr>
                <w:p w14:paraId="316407DC">
                  <w:pPr>
                    <w:widowControl/>
                    <w:jc w:val="center"/>
                    <w:rPr>
                      <w:color w:val="000000"/>
                      <w:kern w:val="0"/>
                      <w:szCs w:val="21"/>
                    </w:rPr>
                  </w:pPr>
                  <w:r>
                    <w:rPr>
                      <w:rFonts w:hint="eastAsia"/>
                      <w:color w:val="000000"/>
                      <w:kern w:val="0"/>
                      <w:szCs w:val="21"/>
                    </w:rPr>
                    <w:t>呼家湾村</w:t>
                  </w:r>
                </w:p>
              </w:tc>
              <w:tc>
                <w:tcPr>
                  <w:tcW w:w="1029" w:type="pct"/>
                  <w:shd w:val="clear" w:color="auto" w:fill="auto"/>
                  <w:vAlign w:val="center"/>
                </w:tcPr>
                <w:p w14:paraId="658E4A2D">
                  <w:pPr>
                    <w:widowControl/>
                    <w:jc w:val="center"/>
                    <w:rPr>
                      <w:rFonts w:eastAsia="Times New Roman"/>
                      <w:kern w:val="0"/>
                      <w:szCs w:val="21"/>
                    </w:rPr>
                  </w:pPr>
                  <w:r>
                    <w:rPr>
                      <w:rFonts w:hint="eastAsia"/>
                      <w:color w:val="000000"/>
                      <w:kern w:val="0"/>
                      <w:szCs w:val="21"/>
                    </w:rPr>
                    <w:t>111°8′16.33593″</w:t>
                  </w:r>
                </w:p>
              </w:tc>
              <w:tc>
                <w:tcPr>
                  <w:tcW w:w="1029" w:type="pct"/>
                  <w:shd w:val="clear" w:color="auto" w:fill="auto"/>
                  <w:vAlign w:val="center"/>
                </w:tcPr>
                <w:p w14:paraId="1EC09696">
                  <w:pPr>
                    <w:widowControl/>
                    <w:jc w:val="center"/>
                    <w:rPr>
                      <w:rFonts w:eastAsia="Times New Roman"/>
                      <w:kern w:val="0"/>
                      <w:szCs w:val="21"/>
                    </w:rPr>
                  </w:pPr>
                  <w:r>
                    <w:rPr>
                      <w:rFonts w:hint="eastAsia"/>
                      <w:color w:val="000000"/>
                      <w:kern w:val="0"/>
                      <w:szCs w:val="21"/>
                    </w:rPr>
                    <w:t>37°48′22.17498″</w:t>
                  </w:r>
                </w:p>
              </w:tc>
              <w:tc>
                <w:tcPr>
                  <w:tcW w:w="993" w:type="pct"/>
                  <w:vAlign w:val="center"/>
                </w:tcPr>
                <w:p w14:paraId="5D5DC418">
                  <w:pPr>
                    <w:widowControl/>
                    <w:jc w:val="center"/>
                    <w:rPr>
                      <w:rFonts w:hint="eastAsia" w:ascii="宋体" w:hAnsi="宋体"/>
                      <w:kern w:val="0"/>
                      <w:szCs w:val="21"/>
                    </w:rPr>
                  </w:pPr>
                  <w:r>
                    <w:rPr>
                      <w:rFonts w:hint="eastAsia" w:ascii="宋体" w:hAnsi="宋体"/>
                      <w:kern w:val="0"/>
                      <w:szCs w:val="21"/>
                    </w:rPr>
                    <w:t>西侧厂区的西北方向</w:t>
                  </w:r>
                </w:p>
              </w:tc>
              <w:tc>
                <w:tcPr>
                  <w:tcW w:w="993" w:type="pct"/>
                  <w:shd w:val="clear" w:color="auto" w:fill="auto"/>
                  <w:vAlign w:val="center"/>
                </w:tcPr>
                <w:p w14:paraId="7138B11F">
                  <w:pPr>
                    <w:widowControl/>
                    <w:jc w:val="center"/>
                    <w:rPr>
                      <w:rFonts w:eastAsiaTheme="minorEastAsia"/>
                      <w:kern w:val="0"/>
                      <w:szCs w:val="21"/>
                    </w:rPr>
                  </w:pPr>
                  <w:r>
                    <w:rPr>
                      <w:rFonts w:eastAsiaTheme="minorEastAsia"/>
                      <w:kern w:val="0"/>
                      <w:szCs w:val="21"/>
                    </w:rPr>
                    <w:t>47</w:t>
                  </w:r>
                </w:p>
              </w:tc>
            </w:tr>
          </w:tbl>
          <w:p w14:paraId="5AC038CF">
            <w:pPr>
              <w:pStyle w:val="20"/>
              <w:adjustRightInd w:val="0"/>
              <w:snapToGrid w:val="0"/>
              <w:spacing w:line="360" w:lineRule="auto"/>
              <w:rPr>
                <w:rFonts w:ascii="Times New Roman" w:hAnsi="Times New Roman"/>
                <w:b/>
                <w:bCs/>
                <w:sz w:val="24"/>
              </w:rPr>
            </w:pPr>
            <w:r>
              <w:rPr>
                <w:rFonts w:hint="eastAsia" w:ascii="Times New Roman" w:hAnsi="Times New Roman"/>
                <w:b/>
                <w:bCs/>
                <w:sz w:val="24"/>
              </w:rPr>
              <w:t>3.5.3地下水环境</w:t>
            </w:r>
          </w:p>
          <w:p w14:paraId="1B5040DB">
            <w:pPr>
              <w:pStyle w:val="2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厂界</w:t>
            </w:r>
            <w:r>
              <w:rPr>
                <w:rFonts w:ascii="Times New Roman" w:hAnsi="Times New Roman"/>
                <w:sz w:val="24"/>
              </w:rPr>
              <w:t>500m</w:t>
            </w:r>
            <w:r>
              <w:rPr>
                <w:rFonts w:hint="eastAsia" w:ascii="Times New Roman" w:hAnsi="Times New Roman"/>
                <w:sz w:val="24"/>
              </w:rPr>
              <w:t>范围内没无地下水集中式饮用水水源和热水、矿泉水、温泉等特殊地下水资源。</w:t>
            </w:r>
          </w:p>
          <w:p w14:paraId="70D4DB5C">
            <w:pPr>
              <w:pStyle w:val="20"/>
              <w:adjustRightInd w:val="0"/>
              <w:snapToGrid w:val="0"/>
              <w:spacing w:line="360" w:lineRule="auto"/>
              <w:rPr>
                <w:rFonts w:ascii="Times New Roman" w:hAnsi="Times New Roman"/>
                <w:b/>
                <w:bCs/>
                <w:sz w:val="24"/>
              </w:rPr>
            </w:pPr>
            <w:r>
              <w:rPr>
                <w:rFonts w:hint="eastAsia" w:ascii="Times New Roman" w:hAnsi="Times New Roman"/>
                <w:b/>
                <w:bCs/>
                <w:sz w:val="24"/>
              </w:rPr>
              <w:t>3.5.4生态环境</w:t>
            </w:r>
          </w:p>
          <w:p w14:paraId="30F05567">
            <w:pPr>
              <w:pStyle w:val="2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本项目用地为其他草地，用地范围内无生态环境敏感目标。</w:t>
            </w:r>
          </w:p>
          <w:p w14:paraId="0F09295C">
            <w:pPr>
              <w:adjustRightInd w:val="0"/>
              <w:snapToGrid w:val="0"/>
              <w:spacing w:line="360" w:lineRule="auto"/>
              <w:ind w:firstLine="480" w:firstLineChars="200"/>
              <w:jc w:val="left"/>
              <w:rPr>
                <w:kern w:val="0"/>
                <w:sz w:val="24"/>
              </w:rPr>
            </w:pPr>
            <w:r>
              <w:rPr>
                <w:kern w:val="0"/>
                <w:sz w:val="24"/>
              </w:rPr>
              <w:t>本项目</w:t>
            </w:r>
            <w:r>
              <w:rPr>
                <w:rFonts w:hint="eastAsia"/>
                <w:kern w:val="0"/>
                <w:sz w:val="24"/>
              </w:rPr>
              <w:t>在周边环境情况</w:t>
            </w:r>
            <w:r>
              <w:rPr>
                <w:kern w:val="0"/>
                <w:sz w:val="24"/>
              </w:rPr>
              <w:t>见附图</w:t>
            </w:r>
            <w:r>
              <w:rPr>
                <w:rFonts w:hint="eastAsia"/>
                <w:kern w:val="0"/>
                <w:sz w:val="24"/>
              </w:rPr>
              <w:t>10</w:t>
            </w:r>
            <w:r>
              <w:rPr>
                <w:kern w:val="0"/>
                <w:sz w:val="24"/>
              </w:rPr>
              <w:t>。</w:t>
            </w:r>
          </w:p>
          <w:p w14:paraId="6D847933">
            <w:pPr>
              <w:adjustRightInd w:val="0"/>
              <w:snapToGrid w:val="0"/>
              <w:spacing w:line="360" w:lineRule="auto"/>
              <w:jc w:val="left"/>
              <w:rPr>
                <w:b/>
                <w:bCs/>
                <w:kern w:val="0"/>
                <w:sz w:val="24"/>
              </w:rPr>
            </w:pPr>
            <w:r>
              <w:rPr>
                <w:b/>
                <w:bCs/>
                <w:kern w:val="0"/>
                <w:sz w:val="24"/>
              </w:rPr>
              <w:t>3.5.5</w:t>
            </w:r>
            <w:r>
              <w:rPr>
                <w:rFonts w:hint="eastAsia"/>
                <w:b/>
                <w:bCs/>
                <w:kern w:val="0"/>
                <w:sz w:val="24"/>
              </w:rPr>
              <w:t>运输沿线环境保护目标</w:t>
            </w:r>
          </w:p>
          <w:p w14:paraId="0E2A7E02">
            <w:pPr>
              <w:adjustRightInd w:val="0"/>
              <w:snapToGrid w:val="0"/>
              <w:spacing w:line="360" w:lineRule="auto"/>
              <w:ind w:firstLine="480" w:firstLineChars="200"/>
              <w:rPr>
                <w:kern w:val="0"/>
                <w:sz w:val="24"/>
              </w:rPr>
            </w:pPr>
            <w:r>
              <w:rPr>
                <w:rFonts w:hint="eastAsia"/>
                <w:kern w:val="0"/>
                <w:sz w:val="24"/>
              </w:rPr>
              <w:t>本项目从厂区至国道</w:t>
            </w:r>
            <w:r>
              <w:rPr>
                <w:kern w:val="0"/>
                <w:sz w:val="24"/>
              </w:rPr>
              <w:t>209</w:t>
            </w:r>
            <w:r>
              <w:rPr>
                <w:rFonts w:hint="eastAsia"/>
                <w:kern w:val="0"/>
                <w:sz w:val="24"/>
              </w:rPr>
              <w:t>之间有</w:t>
            </w:r>
            <w:r>
              <w:rPr>
                <w:kern w:val="0"/>
                <w:sz w:val="24"/>
              </w:rPr>
              <w:t>Y001</w:t>
            </w:r>
            <w:r>
              <w:rPr>
                <w:rFonts w:hint="eastAsia"/>
                <w:kern w:val="0"/>
                <w:sz w:val="24"/>
              </w:rPr>
              <w:t>乡道和土韩线，交通方便。运输沿线的主要环境保护目标为曹家山村和土福则村。运输道路环境敏感目标图见附图</w:t>
            </w:r>
            <w:r>
              <w:rPr>
                <w:kern w:val="0"/>
                <w:sz w:val="24"/>
              </w:rPr>
              <w:t>1</w:t>
            </w:r>
            <w:r>
              <w:rPr>
                <w:rFonts w:hint="eastAsia"/>
                <w:kern w:val="0"/>
                <w:sz w:val="24"/>
              </w:rPr>
              <w:t>1。</w:t>
            </w:r>
          </w:p>
        </w:tc>
      </w:tr>
      <w:tr w14:paraId="768CF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215" w:type="dxa"/>
            <w:tcMar>
              <w:left w:w="28" w:type="dxa"/>
              <w:right w:w="28" w:type="dxa"/>
            </w:tcMar>
            <w:vAlign w:val="center"/>
          </w:tcPr>
          <w:p w14:paraId="60892406">
            <w:pPr>
              <w:adjustRightInd w:val="0"/>
              <w:snapToGrid w:val="0"/>
              <w:jc w:val="center"/>
              <w:rPr>
                <w:rFonts w:hint="eastAsia" w:ascii="宋体" w:hAnsi="宋体" w:cs="宋体"/>
                <w:kern w:val="0"/>
                <w:sz w:val="24"/>
              </w:rPr>
            </w:pPr>
            <w:r>
              <w:rPr>
                <w:rFonts w:hint="eastAsia" w:ascii="宋体" w:hAnsi="宋体" w:cs="宋体"/>
                <w:kern w:val="0"/>
                <w:sz w:val="24"/>
              </w:rPr>
              <w:t>污染</w:t>
            </w:r>
          </w:p>
          <w:p w14:paraId="0837D320">
            <w:pPr>
              <w:adjustRightInd w:val="0"/>
              <w:snapToGrid w:val="0"/>
              <w:jc w:val="center"/>
              <w:rPr>
                <w:rFonts w:hint="eastAsia" w:ascii="宋体" w:hAnsi="宋体" w:cs="宋体"/>
                <w:kern w:val="0"/>
                <w:sz w:val="24"/>
              </w:rPr>
            </w:pPr>
            <w:r>
              <w:rPr>
                <w:rFonts w:hint="eastAsia" w:ascii="宋体" w:hAnsi="宋体" w:cs="宋体"/>
                <w:kern w:val="0"/>
                <w:sz w:val="24"/>
              </w:rPr>
              <w:t>物排</w:t>
            </w:r>
          </w:p>
          <w:p w14:paraId="60AB170A">
            <w:pPr>
              <w:adjustRightInd w:val="0"/>
              <w:snapToGrid w:val="0"/>
              <w:jc w:val="center"/>
              <w:rPr>
                <w:rFonts w:hint="eastAsia" w:ascii="宋体" w:hAnsi="宋体" w:cs="宋体"/>
                <w:kern w:val="0"/>
                <w:sz w:val="24"/>
              </w:rPr>
            </w:pPr>
            <w:r>
              <w:rPr>
                <w:rFonts w:hint="eastAsia" w:ascii="宋体" w:hAnsi="宋体" w:cs="宋体"/>
                <w:kern w:val="0"/>
                <w:sz w:val="24"/>
              </w:rPr>
              <w:t>放控</w:t>
            </w:r>
          </w:p>
          <w:p w14:paraId="1E9FBF1D">
            <w:pPr>
              <w:adjustRightInd w:val="0"/>
              <w:snapToGrid w:val="0"/>
              <w:jc w:val="center"/>
              <w:rPr>
                <w:rFonts w:hint="eastAsia" w:ascii="宋体" w:hAnsi="宋体" w:cs="宋体"/>
                <w:kern w:val="0"/>
                <w:sz w:val="24"/>
              </w:rPr>
            </w:pPr>
            <w:r>
              <w:rPr>
                <w:rFonts w:hint="eastAsia" w:ascii="宋体" w:hAnsi="宋体" w:cs="宋体"/>
                <w:kern w:val="0"/>
                <w:sz w:val="24"/>
              </w:rPr>
              <w:t>制标</w:t>
            </w:r>
          </w:p>
          <w:p w14:paraId="71738543">
            <w:pPr>
              <w:adjustRightInd w:val="0"/>
              <w:snapToGrid w:val="0"/>
              <w:jc w:val="center"/>
              <w:rPr>
                <w:rFonts w:hint="eastAsia" w:ascii="宋体" w:hAnsi="宋体" w:cs="宋体"/>
                <w:kern w:val="0"/>
                <w:sz w:val="24"/>
              </w:rPr>
            </w:pPr>
            <w:r>
              <w:rPr>
                <w:rFonts w:hint="eastAsia" w:ascii="宋体" w:hAnsi="宋体" w:cs="宋体"/>
                <w:kern w:val="0"/>
                <w:sz w:val="24"/>
              </w:rPr>
              <w:t>准</w:t>
            </w:r>
          </w:p>
        </w:tc>
        <w:tc>
          <w:tcPr>
            <w:tcW w:w="8775" w:type="dxa"/>
            <w:vAlign w:val="center"/>
          </w:tcPr>
          <w:p w14:paraId="77CC5159">
            <w:pPr>
              <w:spacing w:line="360" w:lineRule="auto"/>
              <w:jc w:val="left"/>
              <w:rPr>
                <w:b/>
                <w:bCs/>
                <w:color w:val="000000"/>
                <w:sz w:val="24"/>
              </w:rPr>
            </w:pPr>
            <w:r>
              <w:rPr>
                <w:b/>
                <w:bCs/>
                <w:color w:val="000000"/>
                <w:sz w:val="24"/>
              </w:rPr>
              <w:t>3.6 污染物排放标准</w:t>
            </w:r>
          </w:p>
          <w:p w14:paraId="7459C6D4">
            <w:pPr>
              <w:snapToGrid w:val="0"/>
              <w:spacing w:line="360" w:lineRule="auto"/>
              <w:jc w:val="left"/>
              <w:rPr>
                <w:b/>
                <w:sz w:val="24"/>
              </w:rPr>
            </w:pPr>
            <w:r>
              <w:rPr>
                <w:b/>
                <w:sz w:val="24"/>
              </w:rPr>
              <w:t>3.6.1</w:t>
            </w:r>
            <w:r>
              <w:rPr>
                <w:rFonts w:hint="eastAsia"/>
                <w:b/>
                <w:sz w:val="24"/>
              </w:rPr>
              <w:t>废气</w:t>
            </w:r>
          </w:p>
          <w:p w14:paraId="332DAAD4">
            <w:pPr>
              <w:snapToGrid w:val="0"/>
              <w:spacing w:line="360" w:lineRule="auto"/>
              <w:ind w:firstLine="480" w:firstLineChars="200"/>
              <w:rPr>
                <w:bCs/>
                <w:sz w:val="24"/>
              </w:rPr>
            </w:pPr>
            <w:bookmarkStart w:id="13" w:name="_Hlk130226919"/>
            <w:r>
              <w:rPr>
                <w:rFonts w:hint="eastAsia"/>
                <w:bCs/>
                <w:sz w:val="24"/>
              </w:rPr>
              <w:t>（1）除尘器排气筒颗粒物执行《水泥工业大气污染物排放标准》</w:t>
            </w:r>
            <w:r>
              <w:rPr>
                <w:bCs/>
                <w:sz w:val="24"/>
              </w:rPr>
              <w:t>(GB4915-2013)</w:t>
            </w:r>
            <w:r>
              <w:rPr>
                <w:rFonts w:hint="eastAsia"/>
                <w:bCs/>
                <w:sz w:val="24"/>
              </w:rPr>
              <w:t>表</w:t>
            </w:r>
            <w:r>
              <w:rPr>
                <w:bCs/>
                <w:sz w:val="24"/>
              </w:rPr>
              <w:t>2</w:t>
            </w:r>
            <w:r>
              <w:rPr>
                <w:rFonts w:hint="eastAsia"/>
                <w:bCs/>
                <w:sz w:val="24"/>
              </w:rPr>
              <w:t>中水泥仓及其他通风生产设备的标准，标准值见表3</w:t>
            </w:r>
            <w:r>
              <w:rPr>
                <w:bCs/>
                <w:sz w:val="24"/>
              </w:rPr>
              <w:t>-</w:t>
            </w:r>
            <w:r>
              <w:rPr>
                <w:rFonts w:hint="eastAsia"/>
                <w:bCs/>
                <w:sz w:val="24"/>
              </w:rPr>
              <w:t>6。</w:t>
            </w:r>
          </w:p>
          <w:p w14:paraId="79FF4B92">
            <w:pPr>
              <w:snapToGrid w:val="0"/>
              <w:spacing w:line="360" w:lineRule="auto"/>
              <w:jc w:val="center"/>
              <w:rPr>
                <w:b/>
                <w:bCs/>
                <w:szCs w:val="21"/>
              </w:rPr>
            </w:pPr>
            <w:r>
              <w:rPr>
                <w:b/>
                <w:bCs/>
                <w:szCs w:val="21"/>
              </w:rPr>
              <w:t>表</w:t>
            </w:r>
            <w:r>
              <w:rPr>
                <w:rFonts w:hint="eastAsia"/>
                <w:b/>
                <w:bCs/>
                <w:szCs w:val="21"/>
              </w:rPr>
              <w:t>3-6</w:t>
            </w:r>
            <w:r>
              <w:rPr>
                <w:b/>
                <w:bCs/>
                <w:szCs w:val="21"/>
              </w:rPr>
              <w:t xml:space="preserve"> </w:t>
            </w:r>
            <w:r>
              <w:rPr>
                <w:rFonts w:hint="eastAsia"/>
                <w:b/>
                <w:bCs/>
                <w:szCs w:val="21"/>
              </w:rPr>
              <w:t xml:space="preserve"> 《</w:t>
            </w:r>
            <w:r>
              <w:rPr>
                <w:b/>
                <w:bCs/>
                <w:szCs w:val="21"/>
              </w:rPr>
              <w:t>水泥</w:t>
            </w:r>
            <w:r>
              <w:rPr>
                <w:rFonts w:hint="eastAsia"/>
                <w:b/>
                <w:bCs/>
                <w:szCs w:val="21"/>
              </w:rPr>
              <w:t>工业</w:t>
            </w:r>
            <w:r>
              <w:rPr>
                <w:b/>
                <w:bCs/>
                <w:szCs w:val="21"/>
              </w:rPr>
              <w:t>大气污染物</w:t>
            </w:r>
            <w:r>
              <w:rPr>
                <w:rFonts w:hint="eastAsia"/>
                <w:b/>
                <w:bCs/>
                <w:szCs w:val="21"/>
              </w:rPr>
              <w:t>排放标准》特别</w:t>
            </w:r>
            <w:r>
              <w:rPr>
                <w:b/>
                <w:bCs/>
                <w:szCs w:val="21"/>
              </w:rPr>
              <w:t>排放</w:t>
            </w:r>
            <w:r>
              <w:rPr>
                <w:rFonts w:hint="eastAsia"/>
                <w:b/>
                <w:bCs/>
                <w:szCs w:val="21"/>
              </w:rPr>
              <w:t>限值</w:t>
            </w:r>
            <w:r>
              <w:rPr>
                <w:b/>
                <w:bCs/>
                <w:szCs w:val="21"/>
              </w:rPr>
              <w:t xml:space="preserve">  单位：mg/m</w:t>
            </w:r>
            <w:r>
              <w:rPr>
                <w:b/>
                <w:bCs/>
                <w:szCs w:val="21"/>
                <w:vertAlign w:val="superscript"/>
              </w:rPr>
              <w:t>3</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1"/>
              <w:gridCol w:w="1274"/>
              <w:gridCol w:w="6114"/>
            </w:tblGrid>
            <w:tr w14:paraId="0CC86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1" w:type="pct"/>
                  <w:vAlign w:val="center"/>
                </w:tcPr>
                <w:p w14:paraId="520327F5">
                  <w:pPr>
                    <w:snapToGrid w:val="0"/>
                    <w:jc w:val="center"/>
                    <w:rPr>
                      <w:bCs/>
                      <w:szCs w:val="21"/>
                    </w:rPr>
                  </w:pPr>
                  <w:r>
                    <w:rPr>
                      <w:rFonts w:hint="eastAsia"/>
                      <w:bCs/>
                      <w:szCs w:val="21"/>
                    </w:rPr>
                    <w:t>污染物</w:t>
                  </w:r>
                </w:p>
              </w:tc>
              <w:tc>
                <w:tcPr>
                  <w:tcW w:w="762" w:type="pct"/>
                  <w:vAlign w:val="center"/>
                </w:tcPr>
                <w:p w14:paraId="5E20CF06">
                  <w:pPr>
                    <w:snapToGrid w:val="0"/>
                    <w:jc w:val="center"/>
                    <w:rPr>
                      <w:bCs/>
                      <w:szCs w:val="21"/>
                    </w:rPr>
                  </w:pPr>
                  <w:r>
                    <w:rPr>
                      <w:rFonts w:hint="eastAsia"/>
                      <w:bCs/>
                      <w:szCs w:val="21"/>
                    </w:rPr>
                    <w:t>限值</w:t>
                  </w:r>
                </w:p>
              </w:tc>
              <w:tc>
                <w:tcPr>
                  <w:tcW w:w="3657" w:type="pct"/>
                  <w:vAlign w:val="center"/>
                </w:tcPr>
                <w:p w14:paraId="2BB2FE09">
                  <w:pPr>
                    <w:snapToGrid w:val="0"/>
                    <w:jc w:val="center"/>
                    <w:rPr>
                      <w:bCs/>
                      <w:szCs w:val="21"/>
                    </w:rPr>
                  </w:pPr>
                  <w:r>
                    <w:rPr>
                      <w:rFonts w:hint="eastAsia"/>
                      <w:bCs/>
                      <w:szCs w:val="21"/>
                    </w:rPr>
                    <w:t>排气筒高度</w:t>
                  </w:r>
                </w:p>
              </w:tc>
            </w:tr>
            <w:tr w14:paraId="419FE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1" w:type="pct"/>
                  <w:vAlign w:val="center"/>
                </w:tcPr>
                <w:p w14:paraId="7EE9DAB9">
                  <w:pPr>
                    <w:snapToGrid w:val="0"/>
                    <w:jc w:val="center"/>
                    <w:rPr>
                      <w:bCs/>
                      <w:szCs w:val="21"/>
                    </w:rPr>
                  </w:pPr>
                  <w:r>
                    <w:rPr>
                      <w:rFonts w:hint="eastAsia"/>
                      <w:bCs/>
                      <w:szCs w:val="21"/>
                    </w:rPr>
                    <w:t>颗粒物</w:t>
                  </w:r>
                </w:p>
              </w:tc>
              <w:tc>
                <w:tcPr>
                  <w:tcW w:w="762" w:type="pct"/>
                  <w:vAlign w:val="center"/>
                </w:tcPr>
                <w:p w14:paraId="6C78F081">
                  <w:pPr>
                    <w:snapToGrid w:val="0"/>
                    <w:jc w:val="center"/>
                    <w:rPr>
                      <w:bCs/>
                      <w:szCs w:val="21"/>
                    </w:rPr>
                  </w:pPr>
                  <w:r>
                    <w:rPr>
                      <w:bCs/>
                      <w:szCs w:val="21"/>
                    </w:rPr>
                    <w:t>10</w:t>
                  </w:r>
                </w:p>
              </w:tc>
              <w:tc>
                <w:tcPr>
                  <w:tcW w:w="3657" w:type="pct"/>
                  <w:vAlign w:val="center"/>
                </w:tcPr>
                <w:p w14:paraId="76AF6418">
                  <w:pPr>
                    <w:snapToGrid w:val="0"/>
                    <w:jc w:val="center"/>
                    <w:rPr>
                      <w:bCs/>
                      <w:szCs w:val="21"/>
                    </w:rPr>
                  </w:pPr>
                  <w:r>
                    <w:rPr>
                      <w:rFonts w:hint="eastAsia"/>
                      <w:bCs/>
                      <w:szCs w:val="21"/>
                    </w:rPr>
                    <w:t>除储库底、地坑及物料转运点单机除尘设施外，排气筒高度不低于</w:t>
                  </w:r>
                  <w:r>
                    <w:rPr>
                      <w:bCs/>
                      <w:szCs w:val="21"/>
                    </w:rPr>
                    <w:t>15m</w:t>
                  </w:r>
                  <w:r>
                    <w:rPr>
                      <w:rFonts w:hint="eastAsia"/>
                      <w:bCs/>
                      <w:szCs w:val="21"/>
                    </w:rPr>
                    <w:t>，排气筒高度应高出本体建（构）筑物3m以上。</w:t>
                  </w:r>
                </w:p>
              </w:tc>
            </w:tr>
            <w:bookmarkEnd w:id="13"/>
          </w:tbl>
          <w:p w14:paraId="2E8D7447">
            <w:pPr>
              <w:adjustRightInd w:val="0"/>
              <w:snapToGrid w:val="0"/>
              <w:spacing w:line="360" w:lineRule="auto"/>
              <w:ind w:firstLine="480" w:firstLineChars="200"/>
              <w:rPr>
                <w:sz w:val="24"/>
              </w:rPr>
            </w:pPr>
            <w:r>
              <w:rPr>
                <w:rFonts w:hint="eastAsia"/>
                <w:sz w:val="24"/>
              </w:rPr>
              <w:t>（2）厂界无组织颗粒物排放执行《水泥工业大气污染物排放标准》（</w:t>
            </w:r>
            <w:r>
              <w:rPr>
                <w:sz w:val="24"/>
              </w:rPr>
              <w:t>GB4915-2013</w:t>
            </w:r>
            <w:r>
              <w:rPr>
                <w:rFonts w:hint="eastAsia"/>
                <w:sz w:val="24"/>
              </w:rPr>
              <w:t>）表</w:t>
            </w:r>
            <w:r>
              <w:rPr>
                <w:sz w:val="24"/>
              </w:rPr>
              <w:t>3</w:t>
            </w:r>
            <w:r>
              <w:rPr>
                <w:rFonts w:hint="eastAsia"/>
                <w:sz w:val="24"/>
              </w:rPr>
              <w:t>中大气污染物无组织排放限值，标准限值见表3</w:t>
            </w:r>
            <w:r>
              <w:rPr>
                <w:sz w:val="24"/>
              </w:rPr>
              <w:t>-</w:t>
            </w:r>
            <w:r>
              <w:rPr>
                <w:rFonts w:hint="eastAsia"/>
                <w:sz w:val="24"/>
              </w:rPr>
              <w:t>7。</w:t>
            </w:r>
          </w:p>
          <w:p w14:paraId="03B28D7B">
            <w:pPr>
              <w:adjustRightInd w:val="0"/>
              <w:snapToGrid w:val="0"/>
              <w:spacing w:line="360" w:lineRule="auto"/>
              <w:jc w:val="center"/>
              <w:rPr>
                <w:b/>
                <w:bCs/>
                <w:szCs w:val="21"/>
              </w:rPr>
            </w:pPr>
            <w:r>
              <w:rPr>
                <w:rFonts w:hint="eastAsia"/>
                <w:b/>
                <w:bCs/>
                <w:szCs w:val="21"/>
              </w:rPr>
              <w:t>表</w:t>
            </w:r>
            <w:r>
              <w:rPr>
                <w:b/>
                <w:bCs/>
                <w:szCs w:val="21"/>
              </w:rPr>
              <w:t>3-</w:t>
            </w:r>
            <w:r>
              <w:rPr>
                <w:rFonts w:hint="eastAsia"/>
                <w:b/>
                <w:bCs/>
                <w:szCs w:val="21"/>
              </w:rPr>
              <w:t>7</w:t>
            </w:r>
            <w:r>
              <w:rPr>
                <w:b/>
                <w:bCs/>
                <w:szCs w:val="21"/>
              </w:rPr>
              <w:t xml:space="preserve"> </w:t>
            </w:r>
            <w:r>
              <w:rPr>
                <w:rFonts w:hint="eastAsia"/>
                <w:b/>
                <w:bCs/>
                <w:szCs w:val="21"/>
              </w:rPr>
              <w:t xml:space="preserve"> 《水泥工业大气污染物排放标准》（</w:t>
            </w:r>
            <w:r>
              <w:rPr>
                <w:b/>
                <w:bCs/>
                <w:szCs w:val="21"/>
              </w:rPr>
              <w:t>GB4915-2013</w:t>
            </w:r>
            <w:r>
              <w:rPr>
                <w:rFonts w:hint="eastAsia"/>
                <w:b/>
                <w:bCs/>
                <w:szCs w:val="21"/>
              </w:rPr>
              <w:t>） 单位：</w:t>
            </w:r>
            <w:r>
              <w:rPr>
                <w:b/>
                <w:bCs/>
                <w:szCs w:val="21"/>
              </w:rPr>
              <w:t>mg/m</w:t>
            </w:r>
            <w:r>
              <w:rPr>
                <w:b/>
                <w:bCs/>
                <w:szCs w:val="21"/>
                <w:vertAlign w:val="superscript"/>
              </w:rPr>
              <w:t>3</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87"/>
              <w:gridCol w:w="1085"/>
              <w:gridCol w:w="6187"/>
            </w:tblGrid>
            <w:tr w14:paraId="42702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50" w:type="pct"/>
                  <w:vAlign w:val="center"/>
                </w:tcPr>
                <w:p w14:paraId="73EA584F">
                  <w:pPr>
                    <w:pStyle w:val="81"/>
                    <w:spacing w:before="24" w:after="24"/>
                    <w:rPr>
                      <w:rFonts w:ascii="Times New Roman"/>
                      <w:color w:val="000000"/>
                      <w:szCs w:val="21"/>
                    </w:rPr>
                  </w:pPr>
                  <w:r>
                    <w:rPr>
                      <w:rFonts w:hint="eastAsia" w:ascii="Times New Roman"/>
                      <w:color w:val="000000"/>
                      <w:szCs w:val="21"/>
                    </w:rPr>
                    <w:t>污染物</w:t>
                  </w:r>
                </w:p>
              </w:tc>
              <w:tc>
                <w:tcPr>
                  <w:tcW w:w="649" w:type="pct"/>
                  <w:vAlign w:val="center"/>
                </w:tcPr>
                <w:p w14:paraId="004ACA7C">
                  <w:pPr>
                    <w:pStyle w:val="81"/>
                    <w:spacing w:before="24" w:after="24"/>
                    <w:rPr>
                      <w:rFonts w:ascii="Times New Roman"/>
                      <w:color w:val="000000"/>
                      <w:szCs w:val="21"/>
                    </w:rPr>
                  </w:pPr>
                  <w:r>
                    <w:rPr>
                      <w:rFonts w:hint="eastAsia" w:ascii="Times New Roman"/>
                      <w:color w:val="000000"/>
                      <w:szCs w:val="21"/>
                    </w:rPr>
                    <w:t>限值</w:t>
                  </w:r>
                </w:p>
              </w:tc>
              <w:tc>
                <w:tcPr>
                  <w:tcW w:w="3700" w:type="pct"/>
                  <w:vAlign w:val="center"/>
                </w:tcPr>
                <w:p w14:paraId="5046AD38">
                  <w:pPr>
                    <w:pStyle w:val="81"/>
                    <w:spacing w:before="24" w:after="24"/>
                    <w:rPr>
                      <w:rFonts w:ascii="Times New Roman"/>
                      <w:color w:val="000000"/>
                      <w:szCs w:val="21"/>
                    </w:rPr>
                  </w:pPr>
                  <w:r>
                    <w:rPr>
                      <w:rFonts w:hint="eastAsia" w:ascii="Times New Roman"/>
                      <w:color w:val="000000"/>
                      <w:szCs w:val="21"/>
                    </w:rPr>
                    <w:t>无组织排放监控位置</w:t>
                  </w:r>
                </w:p>
              </w:tc>
            </w:tr>
            <w:tr w14:paraId="28B3C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50" w:type="pct"/>
                  <w:vAlign w:val="center"/>
                </w:tcPr>
                <w:p w14:paraId="63165088">
                  <w:pPr>
                    <w:pStyle w:val="81"/>
                    <w:spacing w:before="24" w:after="24"/>
                    <w:rPr>
                      <w:rFonts w:ascii="Times New Roman"/>
                      <w:color w:val="000000"/>
                      <w:szCs w:val="21"/>
                    </w:rPr>
                  </w:pPr>
                  <w:r>
                    <w:rPr>
                      <w:rFonts w:ascii="Times New Roman"/>
                      <w:color w:val="000000"/>
                      <w:szCs w:val="21"/>
                    </w:rPr>
                    <w:t>颗粒物</w:t>
                  </w:r>
                </w:p>
              </w:tc>
              <w:tc>
                <w:tcPr>
                  <w:tcW w:w="649" w:type="pct"/>
                  <w:vAlign w:val="center"/>
                </w:tcPr>
                <w:p w14:paraId="6A1C6EAF">
                  <w:pPr>
                    <w:pStyle w:val="81"/>
                    <w:spacing w:before="24" w:after="24"/>
                    <w:rPr>
                      <w:rFonts w:ascii="Times New Roman"/>
                      <w:color w:val="000000"/>
                      <w:szCs w:val="21"/>
                    </w:rPr>
                  </w:pPr>
                  <w:r>
                    <w:rPr>
                      <w:rFonts w:ascii="Times New Roman"/>
                      <w:color w:val="000000"/>
                      <w:szCs w:val="21"/>
                    </w:rPr>
                    <w:t>0.5</w:t>
                  </w:r>
                </w:p>
              </w:tc>
              <w:tc>
                <w:tcPr>
                  <w:tcW w:w="3700" w:type="pct"/>
                  <w:vAlign w:val="center"/>
                </w:tcPr>
                <w:p w14:paraId="5FCF2463">
                  <w:pPr>
                    <w:pStyle w:val="81"/>
                    <w:spacing w:before="24" w:after="24"/>
                    <w:rPr>
                      <w:rFonts w:ascii="Times New Roman"/>
                      <w:color w:val="000000"/>
                      <w:szCs w:val="21"/>
                    </w:rPr>
                  </w:pPr>
                  <w:r>
                    <w:rPr>
                      <w:rFonts w:ascii="Times New Roman"/>
                      <w:color w:val="000000"/>
                      <w:szCs w:val="21"/>
                    </w:rPr>
                    <w:t>厂界外20m处上风向设参照点，下风向设监控点</w:t>
                  </w:r>
                </w:p>
              </w:tc>
            </w:tr>
          </w:tbl>
          <w:p w14:paraId="2FF14B34">
            <w:pPr>
              <w:spacing w:line="360" w:lineRule="auto"/>
              <w:rPr>
                <w:b/>
                <w:bCs/>
                <w:color w:val="000000"/>
                <w:sz w:val="24"/>
              </w:rPr>
            </w:pPr>
            <w:r>
              <w:rPr>
                <w:b/>
                <w:bCs/>
                <w:color w:val="000000"/>
                <w:sz w:val="24"/>
              </w:rPr>
              <w:t>3.6.2</w:t>
            </w:r>
            <w:r>
              <w:rPr>
                <w:rFonts w:hint="eastAsia"/>
                <w:b/>
                <w:bCs/>
                <w:color w:val="000000"/>
                <w:sz w:val="24"/>
              </w:rPr>
              <w:t>噪声</w:t>
            </w:r>
          </w:p>
          <w:p w14:paraId="56DED56B">
            <w:pPr>
              <w:wordWrap w:val="0"/>
              <w:spacing w:line="360" w:lineRule="auto"/>
              <w:ind w:firstLine="480" w:firstLineChars="200"/>
              <w:jc w:val="left"/>
              <w:rPr>
                <w:bCs/>
                <w:color w:val="000000"/>
                <w:sz w:val="24"/>
              </w:rPr>
            </w:pPr>
            <w:r>
              <w:rPr>
                <w:bCs/>
                <w:color w:val="000000"/>
                <w:sz w:val="24"/>
              </w:rPr>
              <w:t>1. 施工期</w:t>
            </w:r>
          </w:p>
          <w:p w14:paraId="3DAE474F">
            <w:pPr>
              <w:spacing w:line="360" w:lineRule="auto"/>
              <w:ind w:firstLine="480" w:firstLineChars="200"/>
              <w:rPr>
                <w:color w:val="000000"/>
                <w:sz w:val="24"/>
              </w:rPr>
            </w:pPr>
            <w:r>
              <w:rPr>
                <w:bCs/>
                <w:color w:val="000000"/>
                <w:sz w:val="24"/>
              </w:rPr>
              <w:t>施工期厂界噪声执行《建筑施工厂界环境噪声排放标准》</w:t>
            </w:r>
            <w:r>
              <w:rPr>
                <w:color w:val="000000"/>
                <w:sz w:val="24"/>
              </w:rPr>
              <w:t>（GB12523-2011）表1的排放限值要求：昼间70dB（A），夜间55dB（A）。</w:t>
            </w:r>
          </w:p>
          <w:p w14:paraId="61F26894">
            <w:pPr>
              <w:spacing w:line="360" w:lineRule="auto"/>
              <w:ind w:firstLine="480" w:firstLineChars="200"/>
              <w:rPr>
                <w:bCs/>
                <w:color w:val="000000"/>
                <w:sz w:val="24"/>
              </w:rPr>
            </w:pPr>
            <w:r>
              <w:rPr>
                <w:bCs/>
                <w:color w:val="000000"/>
                <w:sz w:val="24"/>
              </w:rPr>
              <w:t>2. 运营期</w:t>
            </w:r>
          </w:p>
          <w:p w14:paraId="2BA2EF87">
            <w:pPr>
              <w:spacing w:line="360" w:lineRule="auto"/>
              <w:ind w:firstLine="480" w:firstLineChars="200"/>
              <w:rPr>
                <w:bCs/>
                <w:color w:val="000000"/>
                <w:sz w:val="24"/>
              </w:rPr>
            </w:pPr>
            <w:r>
              <w:rPr>
                <w:bCs/>
                <w:color w:val="000000"/>
                <w:sz w:val="24"/>
              </w:rPr>
              <w:t>厂界噪声执行</w:t>
            </w:r>
            <w:r>
              <w:rPr>
                <w:color w:val="000000"/>
                <w:sz w:val="24"/>
              </w:rPr>
              <w:t>《工业企业厂界环境噪声排放标准》（GB12348-2008）</w:t>
            </w:r>
            <w:r>
              <w:rPr>
                <w:bCs/>
                <w:color w:val="000000"/>
                <w:sz w:val="24"/>
              </w:rPr>
              <w:t>中2类标准：</w:t>
            </w:r>
            <w:r>
              <w:rPr>
                <w:color w:val="000000"/>
                <w:sz w:val="24"/>
              </w:rPr>
              <w:t>昼间60dB（A），夜间50dB（A）</w:t>
            </w:r>
            <w:r>
              <w:rPr>
                <w:bCs/>
                <w:color w:val="000000"/>
                <w:sz w:val="24"/>
              </w:rPr>
              <w:t>。</w:t>
            </w:r>
          </w:p>
          <w:p w14:paraId="24CBC7E4">
            <w:pPr>
              <w:spacing w:line="360" w:lineRule="auto"/>
              <w:rPr>
                <w:b/>
                <w:bCs/>
                <w:color w:val="000000"/>
                <w:sz w:val="24"/>
              </w:rPr>
            </w:pPr>
            <w:r>
              <w:rPr>
                <w:b/>
                <w:bCs/>
                <w:color w:val="000000"/>
                <w:sz w:val="24"/>
              </w:rPr>
              <w:t>3.6.3</w:t>
            </w:r>
            <w:r>
              <w:rPr>
                <w:rFonts w:hint="eastAsia"/>
                <w:b/>
                <w:bCs/>
                <w:color w:val="000000"/>
                <w:sz w:val="24"/>
              </w:rPr>
              <w:t>固体废物</w:t>
            </w:r>
          </w:p>
          <w:p w14:paraId="38C031FF">
            <w:pPr>
              <w:adjustRightInd w:val="0"/>
              <w:snapToGrid w:val="0"/>
              <w:spacing w:line="360" w:lineRule="auto"/>
              <w:ind w:firstLine="480" w:firstLineChars="200"/>
              <w:rPr>
                <w:kern w:val="0"/>
                <w:sz w:val="24"/>
              </w:rPr>
            </w:pPr>
            <w:r>
              <w:rPr>
                <w:kern w:val="0"/>
                <w:sz w:val="24"/>
              </w:rPr>
              <w:t>1. 一般固废</w:t>
            </w:r>
          </w:p>
          <w:p w14:paraId="404AD802">
            <w:pPr>
              <w:adjustRightInd w:val="0"/>
              <w:snapToGrid w:val="0"/>
              <w:spacing w:line="360" w:lineRule="auto"/>
              <w:ind w:firstLine="480" w:firstLineChars="200"/>
              <w:rPr>
                <w:color w:val="FF0000"/>
                <w:kern w:val="0"/>
                <w:sz w:val="24"/>
              </w:rPr>
            </w:pPr>
            <w:r>
              <w:rPr>
                <w:kern w:val="0"/>
                <w:sz w:val="24"/>
              </w:rPr>
              <w:t>一般工业固体废物</w:t>
            </w:r>
            <w:r>
              <w:rPr>
                <w:rFonts w:hint="eastAsia"/>
                <w:kern w:val="0"/>
                <w:sz w:val="24"/>
              </w:rPr>
              <w:t>贮</w:t>
            </w:r>
            <w:r>
              <w:rPr>
                <w:kern w:val="0"/>
                <w:sz w:val="24"/>
              </w:rPr>
              <w:t>存执行《一般工业固体废物贮存和填埋污染控制标准》（GB18599-2020）规定。</w:t>
            </w:r>
          </w:p>
          <w:p w14:paraId="124D8C70">
            <w:pPr>
              <w:adjustRightInd w:val="0"/>
              <w:snapToGrid w:val="0"/>
              <w:spacing w:line="360" w:lineRule="auto"/>
              <w:ind w:firstLine="480" w:firstLineChars="200"/>
              <w:rPr>
                <w:kern w:val="0"/>
                <w:sz w:val="24"/>
              </w:rPr>
            </w:pPr>
            <w:r>
              <w:rPr>
                <w:kern w:val="0"/>
                <w:sz w:val="24"/>
              </w:rPr>
              <w:t>2. 危险废物</w:t>
            </w:r>
          </w:p>
          <w:p w14:paraId="441151A5">
            <w:pPr>
              <w:adjustRightInd w:val="0"/>
              <w:snapToGrid w:val="0"/>
              <w:spacing w:line="360" w:lineRule="auto"/>
              <w:ind w:firstLine="480" w:firstLineChars="200"/>
              <w:rPr>
                <w:kern w:val="0"/>
                <w:sz w:val="24"/>
              </w:rPr>
            </w:pPr>
            <w:r>
              <w:rPr>
                <w:kern w:val="0"/>
                <w:sz w:val="24"/>
              </w:rPr>
              <w:t>危险废物执行《危险废物贮存污染控制标准》（GB18597-2023）中规定。</w:t>
            </w:r>
          </w:p>
          <w:p w14:paraId="6776002E">
            <w:pPr>
              <w:adjustRightInd w:val="0"/>
              <w:snapToGrid w:val="0"/>
              <w:ind w:firstLine="480" w:firstLineChars="200"/>
              <w:rPr>
                <w:kern w:val="0"/>
                <w:sz w:val="24"/>
              </w:rPr>
            </w:pPr>
          </w:p>
          <w:p w14:paraId="34F1CB5D">
            <w:pPr>
              <w:adjustRightInd w:val="0"/>
              <w:snapToGrid w:val="0"/>
              <w:ind w:firstLine="480" w:firstLineChars="200"/>
              <w:rPr>
                <w:kern w:val="0"/>
                <w:sz w:val="24"/>
              </w:rPr>
            </w:pPr>
          </w:p>
          <w:p w14:paraId="3B1382C8">
            <w:pPr>
              <w:adjustRightInd w:val="0"/>
              <w:snapToGrid w:val="0"/>
              <w:spacing w:line="360" w:lineRule="auto"/>
              <w:ind w:firstLine="480" w:firstLineChars="200"/>
              <w:rPr>
                <w:kern w:val="0"/>
                <w:sz w:val="24"/>
              </w:rPr>
            </w:pPr>
          </w:p>
        </w:tc>
      </w:tr>
      <w:tr w14:paraId="6537D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0" w:hRule="atLeast"/>
          <w:jc w:val="center"/>
        </w:trPr>
        <w:tc>
          <w:tcPr>
            <w:tcW w:w="236" w:type="dxa"/>
            <w:vAlign w:val="center"/>
          </w:tcPr>
          <w:p w14:paraId="19F4AF08">
            <w:pPr>
              <w:adjustRightInd w:val="0"/>
              <w:snapToGrid w:val="0"/>
              <w:jc w:val="center"/>
              <w:rPr>
                <w:rFonts w:hint="eastAsia" w:ascii="宋体" w:hAnsi="宋体" w:cs="宋体"/>
                <w:kern w:val="0"/>
                <w:sz w:val="24"/>
              </w:rPr>
            </w:pPr>
            <w:r>
              <w:rPr>
                <w:rFonts w:hint="eastAsia" w:ascii="宋体" w:hAnsi="宋体" w:cs="宋体"/>
                <w:kern w:val="0"/>
                <w:sz w:val="24"/>
              </w:rPr>
              <w:t>总量</w:t>
            </w:r>
          </w:p>
          <w:p w14:paraId="5AEB76FC">
            <w:pPr>
              <w:adjustRightInd w:val="0"/>
              <w:snapToGrid w:val="0"/>
              <w:jc w:val="center"/>
              <w:rPr>
                <w:rFonts w:hint="eastAsia" w:ascii="宋体" w:hAnsi="宋体" w:cs="宋体"/>
                <w:kern w:val="0"/>
                <w:sz w:val="24"/>
              </w:rPr>
            </w:pPr>
            <w:r>
              <w:rPr>
                <w:rFonts w:hint="eastAsia" w:ascii="宋体" w:hAnsi="宋体" w:cs="宋体"/>
                <w:kern w:val="0"/>
                <w:sz w:val="24"/>
              </w:rPr>
              <w:t>控制</w:t>
            </w:r>
          </w:p>
          <w:p w14:paraId="16407A6A">
            <w:pPr>
              <w:adjustRightInd w:val="0"/>
              <w:snapToGrid w:val="0"/>
              <w:jc w:val="center"/>
              <w:rPr>
                <w:rFonts w:hint="eastAsia" w:ascii="宋体" w:hAnsi="宋体" w:cs="宋体"/>
                <w:kern w:val="0"/>
                <w:sz w:val="24"/>
              </w:rPr>
            </w:pPr>
            <w:r>
              <w:rPr>
                <w:rFonts w:hint="eastAsia" w:ascii="宋体" w:hAnsi="宋体" w:cs="宋体"/>
                <w:kern w:val="0"/>
                <w:sz w:val="24"/>
              </w:rPr>
              <w:t>指标</w:t>
            </w:r>
          </w:p>
        </w:tc>
        <w:tc>
          <w:tcPr>
            <w:tcW w:w="8754" w:type="dxa"/>
            <w:vAlign w:val="center"/>
          </w:tcPr>
          <w:p w14:paraId="42A4F851">
            <w:pPr>
              <w:spacing w:before="120" w:beforeLines="50" w:line="360" w:lineRule="auto"/>
              <w:ind w:firstLine="480" w:firstLineChars="200"/>
              <w:rPr>
                <w:kern w:val="0"/>
                <w:sz w:val="24"/>
              </w:rPr>
            </w:pPr>
            <w:r>
              <w:rPr>
                <w:rFonts w:hint="eastAsia"/>
                <w:kern w:val="0"/>
                <w:sz w:val="24"/>
              </w:rPr>
              <w:t>根据晋环规</w:t>
            </w:r>
            <w:r>
              <w:rPr>
                <w:rFonts w:hint="eastAsia" w:ascii="宋体" w:hAnsi="宋体"/>
                <w:kern w:val="0"/>
                <w:sz w:val="24"/>
              </w:rPr>
              <w:t>〔</w:t>
            </w:r>
            <w:r>
              <w:rPr>
                <w:rFonts w:hint="eastAsia"/>
                <w:kern w:val="0"/>
                <w:sz w:val="24"/>
              </w:rPr>
              <w:t>2023</w:t>
            </w:r>
            <w:r>
              <w:rPr>
                <w:rFonts w:hint="eastAsia" w:ascii="宋体" w:hAnsi="宋体"/>
                <w:kern w:val="0"/>
                <w:sz w:val="24"/>
              </w:rPr>
              <w:t>〕</w:t>
            </w:r>
            <w:r>
              <w:rPr>
                <w:rFonts w:hint="eastAsia"/>
                <w:kern w:val="0"/>
                <w:sz w:val="24"/>
              </w:rPr>
              <w:t>1号，山西省生态环境厅关于印发《建设项目主要污染物排放总量指标核定办法》的通知中第十六条 废气二氧化硫、氮氧化物、颗粒物排放量分别不大于3吨/年，挥发性有机物排放量不大于0.3吨/年；废水化学需氧量排放量不大于1吨/年和氨氮排放量不大于0.5吨/年的建设项目，主要污染物排放总量指标可直接予以核定，不需进行主要污染物总量置换。</w:t>
            </w:r>
          </w:p>
          <w:p w14:paraId="1BFF13BE">
            <w:pPr>
              <w:spacing w:line="360" w:lineRule="auto"/>
              <w:ind w:firstLine="482"/>
              <w:rPr>
                <w:kern w:val="1"/>
                <w:sz w:val="24"/>
              </w:rPr>
            </w:pPr>
            <w:r>
              <w:rPr>
                <w:kern w:val="1"/>
                <w:sz w:val="24"/>
              </w:rPr>
              <w:t>本项目需要申请总量控制指标</w:t>
            </w:r>
            <w:r>
              <w:rPr>
                <w:rFonts w:hint="eastAsia"/>
                <w:kern w:val="1"/>
                <w:sz w:val="24"/>
              </w:rPr>
              <w:t>，2024年9月3日吕梁市生态环境局方山分局以方环函[2024]57号出具了本项目总量控制指标，本项目主要污染物排放总量指标为：颗粒物：1.077吨/年</w:t>
            </w:r>
            <w:r>
              <w:rPr>
                <w:kern w:val="1"/>
                <w:sz w:val="24"/>
              </w:rPr>
              <w:t>。</w:t>
            </w:r>
          </w:p>
          <w:p w14:paraId="518DE9E6">
            <w:pPr>
              <w:spacing w:line="360" w:lineRule="auto"/>
              <w:ind w:firstLine="480" w:firstLineChars="200"/>
              <w:rPr>
                <w:kern w:val="0"/>
                <w:sz w:val="24"/>
              </w:rPr>
            </w:pPr>
            <w:r>
              <w:rPr>
                <w:rFonts w:hint="eastAsia"/>
                <w:kern w:val="0"/>
                <w:sz w:val="24"/>
              </w:rPr>
              <w:t>本项目完成后有组织污染物排放量为1.077吨/年，</w:t>
            </w:r>
            <w:r>
              <w:rPr>
                <w:kern w:val="1"/>
                <w:sz w:val="24"/>
              </w:rPr>
              <w:t>未超出</w:t>
            </w:r>
            <w:r>
              <w:rPr>
                <w:rFonts w:hint="eastAsia"/>
                <w:kern w:val="1"/>
                <w:sz w:val="24"/>
              </w:rPr>
              <w:t>吕梁市生态环境局方山分局</w:t>
            </w:r>
            <w:r>
              <w:rPr>
                <w:kern w:val="1"/>
                <w:sz w:val="24"/>
              </w:rPr>
              <w:t>对本公司下达的总量指标。</w:t>
            </w:r>
          </w:p>
          <w:p w14:paraId="7A673A63">
            <w:pPr>
              <w:spacing w:line="360" w:lineRule="auto"/>
              <w:rPr>
                <w:kern w:val="0"/>
                <w:sz w:val="24"/>
              </w:rPr>
            </w:pPr>
          </w:p>
        </w:tc>
      </w:tr>
    </w:tbl>
    <w:p w14:paraId="6050D940">
      <w:pPr>
        <w:pStyle w:val="34"/>
        <w:jc w:val="center"/>
        <w:outlineLvl w:val="0"/>
        <w:rPr>
          <w:rFonts w:hint="eastAsia" w:ascii="黑体" w:hAnsi="黑体" w:eastAsia="黑体"/>
          <w:snapToGrid w:val="0"/>
          <w:sz w:val="36"/>
          <w:szCs w:val="36"/>
        </w:rPr>
        <w:sectPr>
          <w:pgSz w:w="11907" w:h="16840"/>
          <w:pgMar w:top="1701" w:right="1531" w:bottom="2127" w:left="1531" w:header="851" w:footer="851" w:gutter="0"/>
          <w:pgNumType w:fmt="numberInDash"/>
          <w:cols w:space="720" w:num="1"/>
          <w:docGrid w:linePitch="312" w:charSpace="0"/>
        </w:sectPr>
      </w:pPr>
    </w:p>
    <w:p w14:paraId="0126807C">
      <w:pPr>
        <w:pStyle w:val="34"/>
        <w:jc w:val="center"/>
        <w:outlineLvl w:val="0"/>
        <w:rPr>
          <w:rFonts w:hint="eastAsia" w:ascii="黑体" w:hAnsi="黑体" w:eastAsia="黑体"/>
          <w:snapToGrid w:val="0"/>
          <w:sz w:val="30"/>
          <w:szCs w:val="30"/>
        </w:rPr>
      </w:pPr>
      <w:r>
        <w:rPr>
          <w:rFonts w:hint="eastAsia" w:ascii="黑体" w:hAnsi="黑体" w:eastAsia="黑体"/>
          <w:snapToGrid w:val="0"/>
          <w:sz w:val="30"/>
          <w:szCs w:val="30"/>
        </w:rPr>
        <w:t>四、主要环境影响和保护措施</w:t>
      </w: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8450"/>
      </w:tblGrid>
      <w:tr w14:paraId="62682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dxa"/>
            <w:tcMar>
              <w:left w:w="28" w:type="dxa"/>
              <w:right w:w="28" w:type="dxa"/>
            </w:tcMar>
            <w:vAlign w:val="center"/>
          </w:tcPr>
          <w:p w14:paraId="3D1BB917">
            <w:pPr>
              <w:pStyle w:val="34"/>
              <w:adjustRightInd w:val="0"/>
              <w:snapToGrid w:val="0"/>
              <w:spacing w:before="0" w:beforeAutospacing="0" w:after="0" w:afterAutospacing="0"/>
              <w:jc w:val="center"/>
              <w:rPr>
                <w:rFonts w:hint="eastAsia" w:cs="宋体"/>
                <w:kern w:val="2"/>
                <w:szCs w:val="24"/>
              </w:rPr>
            </w:pPr>
            <w:r>
              <w:rPr>
                <w:rFonts w:hint="eastAsia" w:cs="宋体"/>
                <w:kern w:val="2"/>
                <w:szCs w:val="24"/>
              </w:rPr>
              <w:t>施工期环境保护措施</w:t>
            </w:r>
          </w:p>
        </w:tc>
        <w:tc>
          <w:tcPr>
            <w:tcW w:w="8450" w:type="dxa"/>
            <w:vAlign w:val="center"/>
          </w:tcPr>
          <w:p w14:paraId="6B9868FE">
            <w:pPr>
              <w:widowControl/>
              <w:spacing w:line="360" w:lineRule="auto"/>
              <w:jc w:val="left"/>
              <w:rPr>
                <w:b/>
                <w:bCs/>
                <w:kern w:val="0"/>
                <w:sz w:val="24"/>
              </w:rPr>
            </w:pPr>
            <w:r>
              <w:rPr>
                <w:rFonts w:hint="eastAsia"/>
                <w:b/>
                <w:bCs/>
                <w:kern w:val="0"/>
                <w:sz w:val="24"/>
              </w:rPr>
              <w:t>4</w:t>
            </w:r>
            <w:r>
              <w:rPr>
                <w:b/>
                <w:bCs/>
                <w:kern w:val="0"/>
                <w:sz w:val="24"/>
              </w:rPr>
              <w:t xml:space="preserve">.1 </w:t>
            </w:r>
            <w:r>
              <w:rPr>
                <w:rFonts w:hint="eastAsia"/>
                <w:b/>
                <w:bCs/>
                <w:kern w:val="0"/>
                <w:sz w:val="24"/>
              </w:rPr>
              <w:t>施工期环境保护措施</w:t>
            </w:r>
          </w:p>
          <w:p w14:paraId="5100C212">
            <w:pPr>
              <w:widowControl/>
              <w:spacing w:line="360" w:lineRule="auto"/>
              <w:ind w:firstLine="480" w:firstLineChars="200"/>
              <w:rPr>
                <w:kern w:val="0"/>
                <w:sz w:val="24"/>
              </w:rPr>
            </w:pPr>
            <w:r>
              <w:rPr>
                <w:kern w:val="0"/>
                <w:sz w:val="24"/>
              </w:rPr>
              <w:t>本项目施工期工程主要包括</w:t>
            </w:r>
            <w:r>
              <w:rPr>
                <w:rFonts w:hint="eastAsia"/>
                <w:kern w:val="0"/>
                <w:sz w:val="24"/>
              </w:rPr>
              <w:t>场地平整、</w:t>
            </w:r>
            <w:r>
              <w:rPr>
                <w:kern w:val="0"/>
                <w:sz w:val="24"/>
              </w:rPr>
              <w:t>主体工程、安装工程及室外配套工程等阶段。本项目施工期不设施工营地。</w:t>
            </w:r>
          </w:p>
          <w:p w14:paraId="252218AA">
            <w:pPr>
              <w:widowControl/>
              <w:spacing w:line="360" w:lineRule="auto"/>
              <w:jc w:val="left"/>
              <w:rPr>
                <w:b/>
                <w:kern w:val="0"/>
                <w:sz w:val="24"/>
              </w:rPr>
            </w:pPr>
            <w:r>
              <w:rPr>
                <w:rFonts w:hint="eastAsia"/>
                <w:b/>
                <w:kern w:val="0"/>
                <w:sz w:val="24"/>
              </w:rPr>
              <w:t>4.1.1</w:t>
            </w:r>
            <w:r>
              <w:rPr>
                <w:b/>
                <w:kern w:val="0"/>
                <w:sz w:val="24"/>
              </w:rPr>
              <w:t>施工扬尘防治措施</w:t>
            </w:r>
          </w:p>
          <w:p w14:paraId="26E3EBA5">
            <w:pPr>
              <w:widowControl/>
              <w:spacing w:line="360" w:lineRule="auto"/>
              <w:ind w:firstLine="480" w:firstLineChars="200"/>
              <w:rPr>
                <w:kern w:val="0"/>
                <w:sz w:val="24"/>
                <w:lang w:bidi="ar"/>
              </w:rPr>
            </w:pPr>
            <w:r>
              <w:rPr>
                <w:kern w:val="0"/>
                <w:sz w:val="24"/>
                <w:lang w:bidi="ar"/>
              </w:rPr>
              <w:t>为了最大限度的减小</w:t>
            </w:r>
            <w:r>
              <w:rPr>
                <w:rFonts w:hint="eastAsia"/>
                <w:kern w:val="0"/>
                <w:sz w:val="24"/>
                <w:lang w:bidi="ar"/>
              </w:rPr>
              <w:t>施工扬尘</w:t>
            </w:r>
            <w:r>
              <w:rPr>
                <w:kern w:val="0"/>
                <w:sz w:val="24"/>
                <w:lang w:bidi="ar"/>
              </w:rPr>
              <w:t>对附近居民造成的影响，本工程实施过程中的污染防治措施参考</w:t>
            </w:r>
            <w:r>
              <w:rPr>
                <w:rFonts w:hint="eastAsia"/>
                <w:sz w:val="24"/>
              </w:rPr>
              <w:t>《山西省深入推进扬尘污染防治工作方案》、《吕梁市落实空气质量持续改善行动计划实施方案》（吕政发</w:t>
            </w:r>
            <w:r>
              <w:rPr>
                <w:rFonts w:hint="eastAsia" w:ascii="宋体" w:hAnsi="宋体"/>
                <w:sz w:val="24"/>
              </w:rPr>
              <w:t>〔</w:t>
            </w:r>
            <w:r>
              <w:rPr>
                <w:sz w:val="24"/>
              </w:rPr>
              <w:t>2024</w:t>
            </w:r>
            <w:r>
              <w:rPr>
                <w:rFonts w:hint="eastAsia" w:ascii="宋体" w:hAnsi="宋体"/>
                <w:sz w:val="24"/>
              </w:rPr>
              <w:t>〕</w:t>
            </w:r>
            <w:r>
              <w:rPr>
                <w:rFonts w:hint="eastAsia"/>
                <w:sz w:val="24"/>
              </w:rPr>
              <w:t>7号）</w:t>
            </w:r>
            <w:r>
              <w:rPr>
                <w:kern w:val="0"/>
                <w:sz w:val="24"/>
                <w:lang w:bidi="ar"/>
              </w:rPr>
              <w:t>相关规定控制施工扬尘，加强施工期扬尘污染治理，以减轻对大气环境的影响。具体要求如下：</w:t>
            </w:r>
          </w:p>
          <w:p w14:paraId="15C4289C">
            <w:pPr>
              <w:widowControl/>
              <w:spacing w:line="360" w:lineRule="auto"/>
              <w:ind w:firstLine="480" w:firstLineChars="200"/>
              <w:rPr>
                <w:kern w:val="0"/>
                <w:sz w:val="24"/>
                <w:lang w:bidi="ar"/>
              </w:rPr>
            </w:pPr>
            <w:r>
              <w:rPr>
                <w:rFonts w:hint="eastAsia"/>
                <w:kern w:val="0"/>
                <w:sz w:val="24"/>
                <w:lang w:bidi="ar"/>
              </w:rPr>
              <w:t>（1）</w:t>
            </w:r>
            <w:r>
              <w:rPr>
                <w:kern w:val="0"/>
                <w:sz w:val="24"/>
                <w:lang w:bidi="ar"/>
              </w:rPr>
              <w:t>工地沙土堆用抑尘网覆盖；</w:t>
            </w:r>
          </w:p>
          <w:p w14:paraId="2156B759">
            <w:pPr>
              <w:widowControl/>
              <w:spacing w:line="360" w:lineRule="auto"/>
              <w:ind w:firstLine="480" w:firstLineChars="200"/>
              <w:rPr>
                <w:kern w:val="0"/>
                <w:sz w:val="24"/>
                <w:lang w:bidi="ar"/>
              </w:rPr>
            </w:pPr>
            <w:r>
              <w:rPr>
                <w:rFonts w:hint="eastAsia"/>
                <w:kern w:val="0"/>
                <w:sz w:val="24"/>
                <w:lang w:bidi="ar"/>
              </w:rPr>
              <w:t>（2）</w:t>
            </w:r>
            <w:r>
              <w:rPr>
                <w:kern w:val="0"/>
                <w:sz w:val="24"/>
                <w:lang w:bidi="ar"/>
              </w:rPr>
              <w:t>施工场地内定期洒水，保证施工地面湿润，扬尘严重时应加大洒水频率，进一步减少施工过程中的扬尘污染；</w:t>
            </w:r>
          </w:p>
          <w:p w14:paraId="4F63B1F2">
            <w:pPr>
              <w:widowControl/>
              <w:spacing w:line="360" w:lineRule="auto"/>
              <w:ind w:firstLine="480" w:firstLineChars="200"/>
              <w:rPr>
                <w:kern w:val="0"/>
                <w:sz w:val="24"/>
                <w:lang w:bidi="ar"/>
              </w:rPr>
            </w:pPr>
            <w:r>
              <w:rPr>
                <w:rFonts w:hint="eastAsia"/>
                <w:kern w:val="0"/>
                <w:sz w:val="24"/>
                <w:lang w:bidi="ar"/>
              </w:rPr>
              <w:t>（3）</w:t>
            </w:r>
            <w:r>
              <w:rPr>
                <w:kern w:val="0"/>
                <w:sz w:val="24"/>
                <w:lang w:bidi="ar"/>
              </w:rPr>
              <w:t>施工过程中产生的建筑垃圾在施工期间应当及时清运，并按照当地政府市容环境卫生主管部门的规定处置，防止污染环境；</w:t>
            </w:r>
          </w:p>
          <w:p w14:paraId="2818E95B">
            <w:pPr>
              <w:widowControl/>
              <w:spacing w:line="360" w:lineRule="auto"/>
              <w:ind w:firstLine="480" w:firstLineChars="200"/>
              <w:rPr>
                <w:kern w:val="0"/>
                <w:sz w:val="24"/>
              </w:rPr>
            </w:pPr>
            <w:r>
              <w:rPr>
                <w:rFonts w:hint="eastAsia"/>
                <w:kern w:val="0"/>
                <w:sz w:val="24"/>
                <w:lang w:bidi="ar"/>
              </w:rPr>
              <w:t>（4）常态化开展扬尘专项整治，严格落实“六个百分百”要求，推行“阳光施工”“阳光运输”，减少夜间施工和运输。</w:t>
            </w:r>
            <w:r>
              <w:rPr>
                <w:kern w:val="0"/>
                <w:sz w:val="24"/>
              </w:rPr>
              <w:t>施工单位应根据《建设工程施工现场管理规定》的规定设置现场平面布置图、工程概况牌、安全生产牌、消防保卫牌、文明施工牌、环境保护牌、管理人员名单及监督电话等，实施建筑施工全过程控制：确保建筑施工扬尘达到</w:t>
            </w:r>
            <w:r>
              <w:rPr>
                <w:rFonts w:hint="eastAsia"/>
                <w:kern w:val="0"/>
                <w:sz w:val="24"/>
              </w:rPr>
              <w:t>“</w:t>
            </w:r>
            <w:r>
              <w:rPr>
                <w:kern w:val="0"/>
                <w:sz w:val="24"/>
              </w:rPr>
              <w:t>6个100%</w:t>
            </w:r>
            <w:r>
              <w:rPr>
                <w:rFonts w:hint="eastAsia"/>
                <w:kern w:val="0"/>
                <w:sz w:val="24"/>
              </w:rPr>
              <w:t>”</w:t>
            </w:r>
            <w:r>
              <w:rPr>
                <w:kern w:val="0"/>
                <w:sz w:val="24"/>
              </w:rPr>
              <w:t>，即工地周边100%围挡、物料堆放100%覆盖、出入车辆100%冲洗、施工现场地面100%硬化、拆迁工地100%湿法作业、渣土车辆100%密闭运输；</w:t>
            </w:r>
          </w:p>
          <w:p w14:paraId="5EBD195B">
            <w:pPr>
              <w:widowControl/>
              <w:spacing w:line="360" w:lineRule="auto"/>
              <w:ind w:firstLine="480" w:firstLineChars="200"/>
              <w:jc w:val="left"/>
              <w:rPr>
                <w:kern w:val="0"/>
                <w:sz w:val="24"/>
              </w:rPr>
            </w:pPr>
            <w:r>
              <w:rPr>
                <w:kern w:val="0"/>
                <w:sz w:val="24"/>
              </w:rPr>
              <w:t>（</w:t>
            </w:r>
            <w:r>
              <w:rPr>
                <w:rFonts w:hint="eastAsia"/>
                <w:kern w:val="0"/>
                <w:sz w:val="24"/>
              </w:rPr>
              <w:t>5</w:t>
            </w:r>
            <w:r>
              <w:rPr>
                <w:kern w:val="0"/>
                <w:sz w:val="24"/>
              </w:rPr>
              <w:t>）施工现场周边要设置统一围挡，高度不低于1.8m；围挡必须由硬质材料制作，任意两块围挡以及围挡与防溢座间间距不能有大于0.5cm的缝隙，围挡不得有明显破损的漏洞；</w:t>
            </w:r>
          </w:p>
          <w:p w14:paraId="178294F9">
            <w:pPr>
              <w:widowControl/>
              <w:spacing w:line="360" w:lineRule="auto"/>
              <w:ind w:firstLine="480" w:firstLineChars="200"/>
              <w:rPr>
                <w:kern w:val="0"/>
                <w:sz w:val="24"/>
              </w:rPr>
            </w:pPr>
            <w:r>
              <w:rPr>
                <w:kern w:val="0"/>
                <w:sz w:val="24"/>
              </w:rPr>
              <w:t>（</w:t>
            </w:r>
            <w:r>
              <w:rPr>
                <w:rFonts w:hint="eastAsia"/>
                <w:kern w:val="0"/>
                <w:sz w:val="24"/>
              </w:rPr>
              <w:t>6</w:t>
            </w:r>
            <w:r>
              <w:rPr>
                <w:kern w:val="0"/>
                <w:sz w:val="24"/>
              </w:rPr>
              <w:t>）遇到干燥易起尘的土方工程作业时，应辅以洒水压尘，尽量缩短起尘操作时间。遇到四级及四级以上大风天气，应停止土方作业，同时作业处覆以防尘网；施工现场定期喷洒，保证地面湿润，不起尘；</w:t>
            </w:r>
          </w:p>
          <w:p w14:paraId="0799D0EE">
            <w:pPr>
              <w:widowControl/>
              <w:spacing w:line="360" w:lineRule="auto"/>
              <w:ind w:firstLine="480" w:firstLineChars="200"/>
              <w:rPr>
                <w:kern w:val="0"/>
                <w:sz w:val="24"/>
              </w:rPr>
            </w:pPr>
            <w:r>
              <w:rPr>
                <w:kern w:val="0"/>
                <w:sz w:val="24"/>
              </w:rPr>
              <w:t>（</w:t>
            </w:r>
            <w:r>
              <w:rPr>
                <w:rFonts w:hint="eastAsia"/>
                <w:kern w:val="0"/>
                <w:sz w:val="24"/>
              </w:rPr>
              <w:t>7</w:t>
            </w:r>
            <w:r>
              <w:rPr>
                <w:kern w:val="0"/>
                <w:sz w:val="24"/>
              </w:rPr>
              <w:t>）施工过程中使用水泥、石灰、砂石、涂料、辅装材料等容易产生扬尘的建筑材料，应采取设置专门的堆棚，并使用防尘布对原料进行遮盖；</w:t>
            </w:r>
          </w:p>
          <w:p w14:paraId="32F0DDFA">
            <w:pPr>
              <w:widowControl/>
              <w:spacing w:line="360" w:lineRule="auto"/>
              <w:ind w:firstLine="480" w:firstLineChars="200"/>
              <w:rPr>
                <w:kern w:val="0"/>
                <w:sz w:val="24"/>
              </w:rPr>
            </w:pPr>
            <w:r>
              <w:rPr>
                <w:kern w:val="0"/>
                <w:sz w:val="24"/>
              </w:rPr>
              <w:t>（</w:t>
            </w:r>
            <w:r>
              <w:rPr>
                <w:rFonts w:hint="eastAsia"/>
                <w:kern w:val="0"/>
                <w:sz w:val="24"/>
              </w:rPr>
              <w:t>8</w:t>
            </w:r>
            <w:r>
              <w:rPr>
                <w:kern w:val="0"/>
                <w:sz w:val="24"/>
              </w:rPr>
              <w:t>）施工过程产生的弃土、弃料及其他建筑垃圾，应及时清运。所有砂石、灰土、灰浆等易扬尘物料都必须以不透水的隔尘布完全覆盖或放置在顶部和四周均有遮蔽的范围内；防尘布和遮蔽装置的完好率必须大于95%；小批量或八小时之内使用的物料可除外；</w:t>
            </w:r>
          </w:p>
          <w:p w14:paraId="385CC35A">
            <w:pPr>
              <w:widowControl/>
              <w:spacing w:line="360" w:lineRule="auto"/>
              <w:ind w:firstLine="480" w:firstLineChars="200"/>
              <w:rPr>
                <w:kern w:val="0"/>
                <w:sz w:val="24"/>
              </w:rPr>
            </w:pPr>
            <w:r>
              <w:rPr>
                <w:kern w:val="0"/>
                <w:sz w:val="24"/>
              </w:rPr>
              <w:t>（</w:t>
            </w:r>
            <w:r>
              <w:rPr>
                <w:rFonts w:hint="eastAsia"/>
                <w:kern w:val="0"/>
                <w:sz w:val="24"/>
              </w:rPr>
              <w:t>9</w:t>
            </w:r>
            <w:r>
              <w:rPr>
                <w:kern w:val="0"/>
                <w:sz w:val="24"/>
              </w:rPr>
              <w:t>）对于施工工地道路积尘，可采用水冲洗的方法清洁施工工地道路积尘，不得在未实施洒水等抑尘措施情况下进行直接清扫</w:t>
            </w:r>
            <w:r>
              <w:rPr>
                <w:rFonts w:hint="eastAsia"/>
                <w:kern w:val="0"/>
                <w:sz w:val="24"/>
              </w:rPr>
              <w:t>。</w:t>
            </w:r>
          </w:p>
          <w:p w14:paraId="58EEEE0A">
            <w:pPr>
              <w:widowControl/>
              <w:spacing w:line="360" w:lineRule="auto"/>
              <w:jc w:val="left"/>
              <w:rPr>
                <w:b/>
                <w:bCs/>
                <w:kern w:val="0"/>
                <w:sz w:val="24"/>
              </w:rPr>
            </w:pPr>
            <w:r>
              <w:rPr>
                <w:rFonts w:hint="eastAsia"/>
                <w:b/>
                <w:bCs/>
                <w:kern w:val="0"/>
                <w:sz w:val="24"/>
              </w:rPr>
              <w:t>4.1.2</w:t>
            </w:r>
            <w:r>
              <w:rPr>
                <w:b/>
                <w:bCs/>
                <w:kern w:val="0"/>
                <w:sz w:val="24"/>
              </w:rPr>
              <w:t>运输扬尘</w:t>
            </w:r>
            <w:r>
              <w:rPr>
                <w:rFonts w:hint="eastAsia"/>
                <w:b/>
                <w:bCs/>
                <w:kern w:val="0"/>
                <w:sz w:val="24"/>
              </w:rPr>
              <w:t>防治</w:t>
            </w:r>
            <w:r>
              <w:rPr>
                <w:b/>
                <w:bCs/>
                <w:kern w:val="0"/>
                <w:sz w:val="24"/>
              </w:rPr>
              <w:t>措施</w:t>
            </w:r>
          </w:p>
          <w:p w14:paraId="612ED11E">
            <w:pPr>
              <w:widowControl/>
              <w:spacing w:line="360" w:lineRule="auto"/>
              <w:ind w:firstLine="480" w:firstLineChars="200"/>
              <w:rPr>
                <w:kern w:val="0"/>
                <w:sz w:val="24"/>
              </w:rPr>
            </w:pPr>
            <w:r>
              <w:rPr>
                <w:rFonts w:hint="eastAsia"/>
                <w:kern w:val="0"/>
                <w:sz w:val="24"/>
              </w:rPr>
              <w:t>（1）</w:t>
            </w:r>
            <w:r>
              <w:rPr>
                <w:kern w:val="0"/>
                <w:sz w:val="24"/>
              </w:rPr>
              <w:t>施工期间应在物料、渣土、垃圾运输车辆的出口内侧设置洗车平</w:t>
            </w:r>
            <w:r>
              <w:rPr>
                <w:rFonts w:hint="eastAsia"/>
                <w:kern w:val="0"/>
                <w:sz w:val="24"/>
              </w:rPr>
              <w:t>台，</w:t>
            </w:r>
            <w:r>
              <w:rPr>
                <w:kern w:val="0"/>
                <w:sz w:val="24"/>
              </w:rPr>
              <w:t>车辆驶离工地前，应在洗车平台清洗轮胎及车身，不得带泥上路。工地出口处铺装道路上可见粘带泥土不得超过10m，并应及时清扫冲洗；</w:t>
            </w:r>
          </w:p>
          <w:p w14:paraId="5C1963C8">
            <w:pPr>
              <w:widowControl/>
              <w:spacing w:line="360" w:lineRule="auto"/>
              <w:ind w:firstLine="480" w:firstLineChars="200"/>
              <w:rPr>
                <w:kern w:val="0"/>
                <w:sz w:val="24"/>
              </w:rPr>
            </w:pPr>
            <w:r>
              <w:rPr>
                <w:kern w:val="0"/>
                <w:sz w:val="24"/>
              </w:rPr>
              <w:t>（2）进出工地的物料、渣土、垃圾运输车辆，应尽可能采用密闭车斗，并保证物料不遗撒外漏。若无密闭车斗，物料、垃圾、渣土的装载高度不得超过车辆槽帮上沿，车斗应用苫布遮盖严实。苫布边缘至少要遮住槽帮上沿以下15cm，保证物料、渣土、垃圾等不露出。车辆应按照批准的路线和时间进行物料、渣土、垃圾的运输；</w:t>
            </w:r>
          </w:p>
          <w:p w14:paraId="1FE453A2">
            <w:pPr>
              <w:widowControl/>
              <w:spacing w:line="360" w:lineRule="auto"/>
              <w:ind w:firstLine="480" w:firstLineChars="200"/>
              <w:rPr>
                <w:kern w:val="0"/>
                <w:sz w:val="24"/>
              </w:rPr>
            </w:pPr>
            <w:r>
              <w:rPr>
                <w:kern w:val="0"/>
                <w:sz w:val="24"/>
              </w:rPr>
              <w:t>（3）运输车辆驶出工地前，应对车身、车槽、轮胎等部位进行清理或清洗以保证清洁上路；洗车喷嘴静水压不得低于0.5MPa</w:t>
            </w:r>
            <w:r>
              <w:rPr>
                <w:rFonts w:hint="eastAsia"/>
                <w:kern w:val="0"/>
                <w:sz w:val="24"/>
              </w:rPr>
              <w:t>。</w:t>
            </w:r>
            <w:r>
              <w:rPr>
                <w:kern w:val="0"/>
                <w:sz w:val="24"/>
              </w:rPr>
              <w:t>在采取以上措施后，施工期大气污染物对周围环境产生的影响很小。</w:t>
            </w:r>
          </w:p>
          <w:p w14:paraId="4377B56D">
            <w:pPr>
              <w:widowControl/>
              <w:spacing w:line="360" w:lineRule="auto"/>
              <w:jc w:val="left"/>
              <w:rPr>
                <w:b/>
                <w:kern w:val="0"/>
                <w:sz w:val="24"/>
              </w:rPr>
            </w:pPr>
            <w:r>
              <w:rPr>
                <w:rFonts w:hint="eastAsia"/>
                <w:b/>
                <w:kern w:val="0"/>
                <w:sz w:val="24"/>
              </w:rPr>
              <w:t>4.1.3</w:t>
            </w:r>
            <w:r>
              <w:rPr>
                <w:b/>
                <w:kern w:val="0"/>
                <w:sz w:val="24"/>
              </w:rPr>
              <w:t>施工期水环境</w:t>
            </w:r>
            <w:r>
              <w:rPr>
                <w:rFonts w:hint="eastAsia"/>
                <w:b/>
                <w:kern w:val="0"/>
                <w:sz w:val="24"/>
              </w:rPr>
              <w:t>防治措施</w:t>
            </w:r>
          </w:p>
          <w:p w14:paraId="25DFC506">
            <w:pPr>
              <w:widowControl/>
              <w:spacing w:line="360" w:lineRule="auto"/>
              <w:ind w:firstLine="480" w:firstLineChars="200"/>
              <w:rPr>
                <w:kern w:val="0"/>
                <w:sz w:val="24"/>
              </w:rPr>
            </w:pPr>
            <w:r>
              <w:rPr>
                <w:kern w:val="0"/>
                <w:sz w:val="24"/>
              </w:rPr>
              <w:t>本项目施工期废水主要为</w:t>
            </w:r>
            <w:r>
              <w:rPr>
                <w:rFonts w:hint="eastAsia"/>
                <w:kern w:val="0"/>
                <w:sz w:val="24"/>
              </w:rPr>
              <w:t>洗车废水、</w:t>
            </w:r>
            <w:r>
              <w:rPr>
                <w:kern w:val="0"/>
                <w:sz w:val="24"/>
              </w:rPr>
              <w:t>设备冲洗水、施工人员的生活污水。</w:t>
            </w:r>
          </w:p>
          <w:p w14:paraId="2DE61AA0">
            <w:pPr>
              <w:widowControl/>
              <w:spacing w:after="240" w:afterLines="100" w:line="360" w:lineRule="auto"/>
              <w:ind w:firstLine="480" w:firstLineChars="200"/>
              <w:rPr>
                <w:kern w:val="0"/>
                <w:sz w:val="24"/>
              </w:rPr>
            </w:pPr>
            <w:r>
              <w:rPr>
                <w:kern w:val="0"/>
                <w:sz w:val="24"/>
              </w:rPr>
              <w:t>环评要求：施工现场设置集水沉淀池，设备冲洗废水和生活废水（主要是</w:t>
            </w:r>
            <w:r>
              <w:rPr>
                <w:rFonts w:hint="eastAsia"/>
                <w:kern w:val="0"/>
                <w:sz w:val="24"/>
              </w:rPr>
              <w:t>施工人员洗脸洗手等废水），经沉淀收集、沉淀后用于施工现场洒水抑尘；</w:t>
            </w:r>
          </w:p>
          <w:p w14:paraId="2C16A3F8">
            <w:pPr>
              <w:widowControl/>
              <w:spacing w:line="360" w:lineRule="auto"/>
              <w:rPr>
                <w:kern w:val="0"/>
                <w:sz w:val="24"/>
              </w:rPr>
            </w:pPr>
            <w:r>
              <w:rPr>
                <w:rFonts w:hint="eastAsia"/>
                <w:kern w:val="0"/>
                <w:sz w:val="24"/>
              </w:rPr>
              <w:t>洗车废水循环使用。</w:t>
            </w:r>
          </w:p>
          <w:p w14:paraId="7B9D1E75">
            <w:pPr>
              <w:widowControl/>
              <w:spacing w:line="360" w:lineRule="auto"/>
              <w:ind w:firstLine="480" w:firstLineChars="200"/>
              <w:rPr>
                <w:kern w:val="0"/>
                <w:sz w:val="24"/>
              </w:rPr>
            </w:pPr>
            <w:r>
              <w:rPr>
                <w:bCs/>
                <w:kern w:val="0"/>
                <w:sz w:val="24"/>
              </w:rPr>
              <w:t>通过</w:t>
            </w:r>
            <w:r>
              <w:rPr>
                <w:kern w:val="0"/>
                <w:sz w:val="24"/>
              </w:rPr>
              <w:t>采取以上防治措施以后，施工期产生的水污染物对周围地表水环境产生影响很小。</w:t>
            </w:r>
          </w:p>
          <w:p w14:paraId="55A665A4">
            <w:pPr>
              <w:widowControl/>
              <w:spacing w:line="360" w:lineRule="auto"/>
              <w:jc w:val="left"/>
              <w:rPr>
                <w:b/>
                <w:kern w:val="0"/>
                <w:sz w:val="24"/>
              </w:rPr>
            </w:pPr>
            <w:r>
              <w:rPr>
                <w:rFonts w:hint="eastAsia"/>
                <w:b/>
                <w:kern w:val="0"/>
                <w:sz w:val="24"/>
              </w:rPr>
              <w:t>4.1.4</w:t>
            </w:r>
            <w:r>
              <w:rPr>
                <w:b/>
                <w:kern w:val="0"/>
                <w:sz w:val="24"/>
              </w:rPr>
              <w:t>施工期声环境</w:t>
            </w:r>
            <w:r>
              <w:rPr>
                <w:rFonts w:hint="eastAsia"/>
                <w:b/>
                <w:kern w:val="0"/>
                <w:sz w:val="24"/>
              </w:rPr>
              <w:t>防治措施</w:t>
            </w:r>
          </w:p>
          <w:p w14:paraId="372FE0DF">
            <w:pPr>
              <w:widowControl/>
              <w:snapToGrid w:val="0"/>
              <w:spacing w:line="360" w:lineRule="auto"/>
              <w:ind w:firstLine="480" w:firstLineChars="200"/>
              <w:outlineLvl w:val="0"/>
              <w:rPr>
                <w:color w:val="000000"/>
                <w:kern w:val="0"/>
                <w:sz w:val="24"/>
                <w:lang w:bidi="ar"/>
              </w:rPr>
            </w:pPr>
            <w:r>
              <w:rPr>
                <w:rFonts w:hint="eastAsia"/>
                <w:snapToGrid w:val="0"/>
                <w:kern w:val="0"/>
                <w:sz w:val="24"/>
                <w:szCs w:val="22"/>
              </w:rPr>
              <w:t>施工期</w:t>
            </w:r>
            <w:r>
              <w:rPr>
                <w:color w:val="000000"/>
                <w:kern w:val="0"/>
                <w:sz w:val="24"/>
                <w:lang w:bidi="ar"/>
              </w:rPr>
              <w:t>噪声主要为场地施工造成，设备安装阶段声源数量少，强噪声源更少。为保证施工期项目所在地声环境质量，针对施工期噪声污染源及噪声影响的特点，应采取如下噪声污染控制措施：</w:t>
            </w:r>
          </w:p>
          <w:p w14:paraId="2CD9C435">
            <w:pPr>
              <w:widowControl/>
              <w:snapToGrid w:val="0"/>
              <w:spacing w:line="360" w:lineRule="auto"/>
              <w:ind w:firstLine="480" w:firstLineChars="200"/>
              <w:outlineLvl w:val="0"/>
              <w:rPr>
                <w:snapToGrid w:val="0"/>
                <w:kern w:val="0"/>
                <w:sz w:val="24"/>
                <w:szCs w:val="22"/>
              </w:rPr>
            </w:pPr>
            <w:r>
              <w:rPr>
                <w:snapToGrid w:val="0"/>
                <w:kern w:val="0"/>
                <w:sz w:val="24"/>
                <w:szCs w:val="22"/>
              </w:rPr>
              <w:t>（</w:t>
            </w:r>
            <w:r>
              <w:rPr>
                <w:rFonts w:hint="eastAsia"/>
                <w:snapToGrid w:val="0"/>
                <w:kern w:val="0"/>
                <w:sz w:val="24"/>
                <w:szCs w:val="22"/>
              </w:rPr>
              <w:t>1</w:t>
            </w:r>
            <w:r>
              <w:rPr>
                <w:snapToGrid w:val="0"/>
                <w:kern w:val="0"/>
                <w:sz w:val="24"/>
                <w:szCs w:val="22"/>
              </w:rPr>
              <w:t>）施工区实施严格的隔离措施，对位置相对固定的产噪设备，能设在棚内的应尽量进入操作间，不能入棚的也应当建立围隔声障；</w:t>
            </w:r>
          </w:p>
          <w:p w14:paraId="42D2951E">
            <w:pPr>
              <w:widowControl/>
              <w:spacing w:line="360" w:lineRule="auto"/>
              <w:ind w:firstLine="480" w:firstLineChars="200"/>
              <w:rPr>
                <w:color w:val="000000"/>
                <w:kern w:val="0"/>
                <w:sz w:val="24"/>
                <w:lang w:bidi="ar"/>
              </w:rPr>
            </w:pPr>
            <w:r>
              <w:rPr>
                <w:rFonts w:hint="eastAsia"/>
                <w:color w:val="000000"/>
                <w:kern w:val="0"/>
                <w:sz w:val="24"/>
                <w:lang w:bidi="ar"/>
              </w:rPr>
              <w:t>（2）</w:t>
            </w:r>
            <w:r>
              <w:rPr>
                <w:snapToGrid w:val="0"/>
                <w:kern w:val="0"/>
                <w:sz w:val="24"/>
                <w:szCs w:val="22"/>
              </w:rPr>
              <w:t>施工设备采用低噪声设备，避免在同一地点安排大量机械设备；</w:t>
            </w:r>
            <w:r>
              <w:rPr>
                <w:color w:val="000000"/>
                <w:kern w:val="0"/>
                <w:sz w:val="24"/>
                <w:lang w:bidi="ar"/>
              </w:rPr>
              <w:t>降低施工设备噪声，定期对机械设备进行维护和保养，减轻因设备运行状态不佳而造成的噪声污染；对动力机械、设备加强定期检修、养护；按规定操作机械设备，模板、支架装卸过程中尽量减少碰撞声音；</w:t>
            </w:r>
          </w:p>
          <w:p w14:paraId="23AF6C07">
            <w:pPr>
              <w:widowControl/>
              <w:spacing w:line="360" w:lineRule="auto"/>
              <w:ind w:firstLine="480" w:firstLineChars="200"/>
              <w:rPr>
                <w:color w:val="000000"/>
                <w:kern w:val="0"/>
                <w:sz w:val="24"/>
                <w:lang w:bidi="ar"/>
              </w:rPr>
            </w:pPr>
            <w:r>
              <w:rPr>
                <w:rFonts w:hint="eastAsia"/>
                <w:color w:val="000000"/>
                <w:kern w:val="0"/>
                <w:sz w:val="24"/>
                <w:lang w:bidi="ar"/>
              </w:rPr>
              <w:t>（3）</w:t>
            </w:r>
            <w:r>
              <w:rPr>
                <w:snapToGrid w:val="0"/>
                <w:kern w:val="0"/>
                <w:sz w:val="24"/>
                <w:szCs w:val="22"/>
              </w:rPr>
              <w:t>施工前应做好准备工作，包括人、物、材料等，</w:t>
            </w:r>
            <w:r>
              <w:rPr>
                <w:color w:val="000000"/>
                <w:kern w:val="0"/>
                <w:sz w:val="24"/>
                <w:lang w:bidi="ar"/>
              </w:rPr>
              <w:t>提倡文明施工，加强施工人员管理，少用哨子、喇叭等指挥作业，尽量减少人为原因产生的高噪声</w:t>
            </w:r>
            <w:r>
              <w:rPr>
                <w:rFonts w:hint="eastAsia"/>
                <w:color w:val="000000"/>
                <w:kern w:val="0"/>
                <w:sz w:val="24"/>
                <w:lang w:bidi="ar"/>
              </w:rPr>
              <w:t>；</w:t>
            </w:r>
            <w:r>
              <w:rPr>
                <w:color w:val="000000"/>
                <w:kern w:val="0"/>
                <w:sz w:val="24"/>
                <w:lang w:bidi="ar"/>
              </w:rPr>
              <w:t>在模板、支架的拆卸过程中应遵守作业规定，轻拿轻放，减少碰撞噪声</w:t>
            </w:r>
            <w:r>
              <w:rPr>
                <w:rFonts w:hint="eastAsia"/>
                <w:color w:val="000000"/>
                <w:kern w:val="0"/>
                <w:sz w:val="24"/>
                <w:lang w:bidi="ar"/>
              </w:rPr>
              <w:t>，</w:t>
            </w:r>
            <w:r>
              <w:rPr>
                <w:snapToGrid w:val="0"/>
                <w:kern w:val="0"/>
                <w:sz w:val="24"/>
                <w:szCs w:val="22"/>
              </w:rPr>
              <w:t>争取在短时间内完工，尽量缩短施工噪声对民众的影响</w:t>
            </w:r>
            <w:r>
              <w:rPr>
                <w:color w:val="000000"/>
                <w:kern w:val="0"/>
                <w:sz w:val="24"/>
                <w:lang w:bidi="ar"/>
              </w:rPr>
              <w:t>；</w:t>
            </w:r>
          </w:p>
          <w:p w14:paraId="1BD01100">
            <w:pPr>
              <w:widowControl/>
              <w:spacing w:line="360" w:lineRule="auto"/>
              <w:ind w:firstLine="480" w:firstLineChars="200"/>
              <w:rPr>
                <w:color w:val="000000"/>
                <w:kern w:val="0"/>
                <w:sz w:val="24"/>
                <w:lang w:bidi="ar"/>
              </w:rPr>
            </w:pPr>
            <w:r>
              <w:rPr>
                <w:rFonts w:hint="eastAsia"/>
                <w:color w:val="000000"/>
                <w:kern w:val="0"/>
                <w:sz w:val="24"/>
                <w:lang w:bidi="ar"/>
              </w:rPr>
              <w:t>（4）</w:t>
            </w:r>
            <w:r>
              <w:rPr>
                <w:color w:val="000000"/>
                <w:kern w:val="0"/>
                <w:sz w:val="24"/>
                <w:lang w:bidi="ar"/>
              </w:rPr>
              <w:t>施工现场合理布局，以避免局部声级过高，将施工阶段的噪声减至最小，以避免噪声声级过高对周围环境产生不良影响；</w:t>
            </w:r>
          </w:p>
          <w:p w14:paraId="1828F948">
            <w:pPr>
              <w:widowControl/>
              <w:spacing w:line="360" w:lineRule="auto"/>
              <w:ind w:firstLine="480" w:firstLineChars="200"/>
              <w:rPr>
                <w:color w:val="000000"/>
                <w:kern w:val="0"/>
                <w:sz w:val="24"/>
                <w:lang w:bidi="ar"/>
              </w:rPr>
            </w:pPr>
            <w:r>
              <w:rPr>
                <w:rFonts w:hint="eastAsia"/>
                <w:color w:val="000000"/>
                <w:kern w:val="0"/>
                <w:sz w:val="24"/>
                <w:lang w:bidi="ar"/>
              </w:rPr>
              <w:t>（5）</w:t>
            </w:r>
            <w:r>
              <w:rPr>
                <w:color w:val="000000"/>
                <w:kern w:val="0"/>
                <w:sz w:val="24"/>
                <w:lang w:bidi="ar"/>
              </w:rPr>
              <w:t>运输要采用车况良好的车辆，并应注意定期维修、养护；合理规划各运输车辆的行驶路线，运输路线应尽量绕开居住区，并禁止鸣笛，以减少施工噪声对周围居民的影响。</w:t>
            </w:r>
          </w:p>
          <w:p w14:paraId="4D5F263D">
            <w:pPr>
              <w:widowControl/>
              <w:snapToGrid w:val="0"/>
              <w:spacing w:line="360" w:lineRule="auto"/>
              <w:ind w:firstLine="480" w:firstLineChars="200"/>
              <w:outlineLvl w:val="0"/>
              <w:rPr>
                <w:bCs/>
                <w:sz w:val="24"/>
              </w:rPr>
            </w:pPr>
            <w:r>
              <w:rPr>
                <w:rFonts w:hint="eastAsia"/>
                <w:kern w:val="0"/>
                <w:sz w:val="24"/>
                <w:lang w:bidi="ar"/>
              </w:rPr>
              <w:t>（6）</w:t>
            </w:r>
            <w:r>
              <w:rPr>
                <w:snapToGrid w:val="0"/>
                <w:kern w:val="0"/>
                <w:sz w:val="24"/>
                <w:szCs w:val="22"/>
              </w:rPr>
              <w:t>合理安排并优化施工时间</w:t>
            </w:r>
            <w:r>
              <w:rPr>
                <w:rFonts w:hint="eastAsia"/>
                <w:snapToGrid w:val="0"/>
                <w:kern w:val="0"/>
                <w:sz w:val="24"/>
                <w:szCs w:val="22"/>
              </w:rPr>
              <w:t>。</w:t>
            </w:r>
            <w:r>
              <w:rPr>
                <w:rFonts w:hint="eastAsia"/>
                <w:bCs/>
                <w:sz w:val="24"/>
              </w:rPr>
              <w:t>限制作业时间，禁止夜间（</w:t>
            </w:r>
            <w:r>
              <w:rPr>
                <w:bCs/>
                <w:sz w:val="24"/>
              </w:rPr>
              <w:t>22</w:t>
            </w:r>
            <w:r>
              <w:rPr>
                <w:rFonts w:hint="eastAsia"/>
                <w:bCs/>
                <w:sz w:val="24"/>
              </w:rPr>
              <w:t>：</w:t>
            </w:r>
            <w:r>
              <w:rPr>
                <w:bCs/>
                <w:sz w:val="24"/>
              </w:rPr>
              <w:t>00</w:t>
            </w:r>
            <w:r>
              <w:rPr>
                <w:rFonts w:hint="eastAsia"/>
                <w:bCs/>
                <w:sz w:val="24"/>
              </w:rPr>
              <w:t>～次日</w:t>
            </w:r>
            <w:r>
              <w:rPr>
                <w:bCs/>
                <w:sz w:val="24"/>
              </w:rPr>
              <w:t>6</w:t>
            </w:r>
            <w:r>
              <w:rPr>
                <w:rFonts w:hint="eastAsia"/>
                <w:bCs/>
                <w:sz w:val="24"/>
              </w:rPr>
              <w:t>：</w:t>
            </w:r>
            <w:r>
              <w:rPr>
                <w:bCs/>
                <w:sz w:val="24"/>
              </w:rPr>
              <w:t>00</w:t>
            </w:r>
            <w:r>
              <w:rPr>
                <w:rFonts w:hint="eastAsia"/>
                <w:bCs/>
                <w:sz w:val="24"/>
              </w:rPr>
              <w:t>）施工，中午（</w:t>
            </w:r>
            <w:r>
              <w:rPr>
                <w:bCs/>
                <w:sz w:val="24"/>
              </w:rPr>
              <w:t>12</w:t>
            </w:r>
            <w:r>
              <w:rPr>
                <w:rFonts w:hint="eastAsia"/>
                <w:bCs/>
                <w:sz w:val="24"/>
              </w:rPr>
              <w:t>：</w:t>
            </w:r>
            <w:r>
              <w:rPr>
                <w:bCs/>
                <w:sz w:val="24"/>
              </w:rPr>
              <w:t>00</w:t>
            </w:r>
            <w:r>
              <w:rPr>
                <w:rFonts w:hint="eastAsia"/>
                <w:bCs/>
                <w:sz w:val="24"/>
              </w:rPr>
              <w:t>～</w:t>
            </w:r>
            <w:r>
              <w:rPr>
                <w:bCs/>
                <w:sz w:val="24"/>
              </w:rPr>
              <w:t>1</w:t>
            </w:r>
            <w:r>
              <w:rPr>
                <w:rFonts w:hint="eastAsia"/>
                <w:bCs/>
                <w:sz w:val="24"/>
              </w:rPr>
              <w:t>5：</w:t>
            </w:r>
            <w:r>
              <w:rPr>
                <w:bCs/>
                <w:sz w:val="24"/>
              </w:rPr>
              <w:t>00</w:t>
            </w:r>
            <w:r>
              <w:rPr>
                <w:rFonts w:hint="eastAsia"/>
                <w:bCs/>
                <w:sz w:val="24"/>
              </w:rPr>
              <w:t>）限制施工。确因施工需要及其它特殊原因短期内须在夜间施工，施工前有县级以上人民政府或者有关主管部门的证明，在周围张贴告示，表明施工时段，以取得谅解。</w:t>
            </w:r>
          </w:p>
          <w:p w14:paraId="76EFEF2F">
            <w:pPr>
              <w:widowControl/>
              <w:snapToGrid w:val="0"/>
              <w:spacing w:line="360" w:lineRule="auto"/>
              <w:ind w:firstLine="480" w:firstLineChars="200"/>
              <w:outlineLvl w:val="0"/>
              <w:rPr>
                <w:snapToGrid w:val="0"/>
                <w:kern w:val="0"/>
                <w:sz w:val="24"/>
                <w:szCs w:val="22"/>
              </w:rPr>
            </w:pPr>
            <w:r>
              <w:rPr>
                <w:snapToGrid w:val="0"/>
                <w:kern w:val="0"/>
                <w:sz w:val="24"/>
                <w:szCs w:val="22"/>
              </w:rPr>
              <w:t>（</w:t>
            </w:r>
            <w:r>
              <w:rPr>
                <w:rFonts w:hint="eastAsia"/>
                <w:snapToGrid w:val="0"/>
                <w:kern w:val="0"/>
                <w:sz w:val="24"/>
                <w:szCs w:val="22"/>
              </w:rPr>
              <w:t>7</w:t>
            </w:r>
            <w:r>
              <w:rPr>
                <w:snapToGrid w:val="0"/>
                <w:kern w:val="0"/>
                <w:sz w:val="24"/>
                <w:szCs w:val="22"/>
              </w:rPr>
              <w:t>）运输</w:t>
            </w:r>
            <w:r>
              <w:rPr>
                <w:rFonts w:hint="eastAsia"/>
                <w:snapToGrid w:val="0"/>
                <w:kern w:val="0"/>
                <w:sz w:val="24"/>
                <w:szCs w:val="22"/>
              </w:rPr>
              <w:t>车辆</w:t>
            </w:r>
            <w:r>
              <w:rPr>
                <w:snapToGrid w:val="0"/>
                <w:kern w:val="0"/>
                <w:sz w:val="24"/>
                <w:szCs w:val="22"/>
              </w:rPr>
              <w:t>经过敏感目标时应减速慢行，尽量减少鸣笛次数。</w:t>
            </w:r>
          </w:p>
          <w:p w14:paraId="650AC457">
            <w:pPr>
              <w:widowControl/>
              <w:spacing w:line="360" w:lineRule="auto"/>
              <w:rPr>
                <w:b/>
                <w:kern w:val="0"/>
                <w:sz w:val="24"/>
              </w:rPr>
            </w:pPr>
            <w:r>
              <w:rPr>
                <w:rFonts w:hint="eastAsia"/>
                <w:b/>
                <w:kern w:val="0"/>
                <w:sz w:val="24"/>
              </w:rPr>
              <w:t>4.1.5</w:t>
            </w:r>
            <w:r>
              <w:rPr>
                <w:b/>
                <w:kern w:val="0"/>
                <w:sz w:val="24"/>
              </w:rPr>
              <w:t>施工期固废污染</w:t>
            </w:r>
            <w:r>
              <w:rPr>
                <w:rFonts w:hint="eastAsia"/>
                <w:b/>
                <w:kern w:val="0"/>
                <w:sz w:val="24"/>
              </w:rPr>
              <w:t>防治措施</w:t>
            </w:r>
          </w:p>
          <w:p w14:paraId="51256DA7">
            <w:pPr>
              <w:widowControl/>
              <w:autoSpaceDE w:val="0"/>
              <w:autoSpaceDN w:val="0"/>
              <w:adjustRightInd w:val="0"/>
              <w:snapToGrid w:val="0"/>
              <w:spacing w:line="360" w:lineRule="auto"/>
              <w:ind w:firstLine="480" w:firstLineChars="200"/>
              <w:rPr>
                <w:kern w:val="0"/>
                <w:sz w:val="24"/>
              </w:rPr>
            </w:pPr>
            <w:r>
              <w:rPr>
                <w:kern w:val="0"/>
                <w:sz w:val="24"/>
              </w:rPr>
              <w:t>施工期产生的固体废物主要为建筑垃圾和生活垃圾</w:t>
            </w:r>
            <w:r>
              <w:rPr>
                <w:snapToGrid w:val="0"/>
                <w:kern w:val="0"/>
                <w:sz w:val="24"/>
                <w:lang w:bidi="ar"/>
              </w:rPr>
              <w:t>。</w:t>
            </w:r>
            <w:r>
              <w:rPr>
                <w:kern w:val="0"/>
                <w:sz w:val="24"/>
              </w:rPr>
              <w:t>施工中的建筑垃圾主要是废材料等，应由各施工队妥善处理，及时清运到环卫部门指定地方处置；</w:t>
            </w:r>
            <w:r>
              <w:rPr>
                <w:rFonts w:hint="eastAsia"/>
                <w:kern w:val="0"/>
                <w:sz w:val="24"/>
              </w:rPr>
              <w:t>由于场地高差大，场地平整产生的土方全部在场地内回用，不外排。项目土石方平衡表见表4-1。</w:t>
            </w:r>
            <w:r>
              <w:rPr>
                <w:kern w:val="0"/>
                <w:sz w:val="24"/>
              </w:rPr>
              <w:t>生活垃圾可用垃圾桶收集后由环卫工人运送到指定垃圾场处理。</w:t>
            </w:r>
          </w:p>
          <w:p w14:paraId="23EC7A1C">
            <w:pPr>
              <w:widowControl/>
              <w:tabs>
                <w:tab w:val="left" w:pos="1065"/>
              </w:tabs>
              <w:spacing w:line="360" w:lineRule="auto"/>
              <w:ind w:firstLine="480" w:firstLineChars="200"/>
              <w:rPr>
                <w:kern w:val="0"/>
                <w:sz w:val="24"/>
              </w:rPr>
            </w:pPr>
            <w:r>
              <w:rPr>
                <w:kern w:val="0"/>
                <w:sz w:val="24"/>
              </w:rPr>
              <w:t>针对以上固废，环评要求：</w:t>
            </w:r>
          </w:p>
          <w:p w14:paraId="421540DD">
            <w:pPr>
              <w:widowControl/>
              <w:adjustRightInd w:val="0"/>
              <w:snapToGrid w:val="0"/>
              <w:spacing w:line="360" w:lineRule="auto"/>
              <w:ind w:firstLine="480" w:firstLineChars="200"/>
              <w:rPr>
                <w:kern w:val="0"/>
                <w:sz w:val="24"/>
              </w:rPr>
            </w:pPr>
            <w:r>
              <w:rPr>
                <w:rFonts w:hint="eastAsia"/>
                <w:kern w:val="0"/>
                <w:sz w:val="24"/>
              </w:rPr>
              <w:t>（1）</w:t>
            </w:r>
            <w:r>
              <w:rPr>
                <w:kern w:val="0"/>
                <w:sz w:val="24"/>
              </w:rPr>
              <w:t>为避免二次污染，固体废弃物应及时清运，若需暂时堆放，则应根据需要，增设容量足够、有围栏和覆盖措施的堆放场地与设施，并分类存放、加强管理。严禁擅自堆放和倾倒。</w:t>
            </w:r>
          </w:p>
          <w:p w14:paraId="44663D12">
            <w:pPr>
              <w:widowControl/>
              <w:adjustRightInd w:val="0"/>
              <w:snapToGrid w:val="0"/>
              <w:spacing w:line="360" w:lineRule="auto"/>
              <w:ind w:firstLine="480" w:firstLineChars="200"/>
              <w:rPr>
                <w:kern w:val="0"/>
                <w:sz w:val="24"/>
              </w:rPr>
            </w:pPr>
            <w:r>
              <w:rPr>
                <w:rFonts w:hint="eastAsia"/>
                <w:kern w:val="0"/>
                <w:sz w:val="24"/>
              </w:rPr>
              <w:t>（2）</w:t>
            </w:r>
            <w:r>
              <w:rPr>
                <w:kern w:val="0"/>
                <w:sz w:val="24"/>
              </w:rPr>
              <w:t>施工建筑垃圾应对其中可回收利用部分进行回收。剩余建筑垃圾运至</w:t>
            </w:r>
            <w:r>
              <w:rPr>
                <w:rFonts w:hint="eastAsia"/>
                <w:kern w:val="0"/>
                <w:sz w:val="24"/>
              </w:rPr>
              <w:t>附近</w:t>
            </w:r>
            <w:r>
              <w:rPr>
                <w:kern w:val="0"/>
                <w:sz w:val="24"/>
              </w:rPr>
              <w:t>渣土处置场进行填埋。并严格按照填埋场的填埋要求，整齐有序的进行填埋堆存，不得随意倾倒。</w:t>
            </w:r>
          </w:p>
          <w:p w14:paraId="2141ACC3">
            <w:pPr>
              <w:widowControl/>
              <w:autoSpaceDE w:val="0"/>
              <w:autoSpaceDN w:val="0"/>
              <w:adjustRightInd w:val="0"/>
              <w:snapToGrid w:val="0"/>
              <w:spacing w:line="360" w:lineRule="auto"/>
              <w:ind w:firstLine="480" w:firstLineChars="200"/>
              <w:rPr>
                <w:kern w:val="0"/>
                <w:sz w:val="24"/>
              </w:rPr>
            </w:pPr>
            <w:r>
              <w:rPr>
                <w:rFonts w:hint="eastAsia"/>
                <w:kern w:val="0"/>
                <w:sz w:val="24"/>
              </w:rPr>
              <w:t>（3）</w:t>
            </w:r>
            <w:r>
              <w:rPr>
                <w:kern w:val="0"/>
                <w:sz w:val="24"/>
              </w:rPr>
              <w:t>施工人员生活垃圾定期交由当地环卫部门集中处置。</w:t>
            </w:r>
          </w:p>
          <w:p w14:paraId="71CEEC1F">
            <w:pPr>
              <w:widowControl/>
              <w:spacing w:line="360" w:lineRule="auto"/>
              <w:ind w:firstLine="480" w:firstLineChars="200"/>
              <w:rPr>
                <w:kern w:val="0"/>
                <w:sz w:val="24"/>
              </w:rPr>
            </w:pPr>
            <w:r>
              <w:rPr>
                <w:bCs/>
                <w:kern w:val="0"/>
                <w:sz w:val="24"/>
              </w:rPr>
              <w:t>通过</w:t>
            </w:r>
            <w:r>
              <w:rPr>
                <w:kern w:val="0"/>
                <w:sz w:val="24"/>
              </w:rPr>
              <w:t>采取以上防治措施后，施工期产生的固废不会对周围环境产生影响。</w:t>
            </w:r>
          </w:p>
          <w:p w14:paraId="06D1202B">
            <w:pPr>
              <w:widowControl/>
              <w:spacing w:line="360" w:lineRule="auto"/>
              <w:jc w:val="center"/>
              <w:rPr>
                <w:b/>
                <w:bCs/>
                <w:snapToGrid w:val="0"/>
                <w:kern w:val="0"/>
                <w:szCs w:val="21"/>
                <w:lang w:bidi="ar"/>
              </w:rPr>
            </w:pPr>
            <w:r>
              <w:rPr>
                <w:rFonts w:hint="eastAsia"/>
                <w:b/>
                <w:bCs/>
                <w:snapToGrid w:val="0"/>
                <w:kern w:val="0"/>
                <w:szCs w:val="21"/>
                <w:lang w:bidi="ar"/>
              </w:rPr>
              <w:t>表</w:t>
            </w:r>
            <w:r>
              <w:rPr>
                <w:b/>
                <w:bCs/>
                <w:snapToGrid w:val="0"/>
                <w:kern w:val="0"/>
                <w:szCs w:val="21"/>
                <w:lang w:bidi="ar"/>
              </w:rPr>
              <w:t xml:space="preserve">4-1  </w:t>
            </w:r>
            <w:r>
              <w:rPr>
                <w:rFonts w:hint="eastAsia"/>
                <w:b/>
                <w:bCs/>
                <w:snapToGrid w:val="0"/>
                <w:kern w:val="0"/>
                <w:szCs w:val="21"/>
                <w:lang w:bidi="ar"/>
              </w:rPr>
              <w:t>项目土石方平衡表</w:t>
            </w:r>
          </w:p>
          <w:tbl>
            <w:tblPr>
              <w:tblStyle w:val="4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615"/>
              <w:gridCol w:w="1615"/>
              <w:gridCol w:w="1615"/>
              <w:gridCol w:w="1615"/>
            </w:tblGrid>
            <w:tr w14:paraId="1AF09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5" w:type="dxa"/>
                  <w:vAlign w:val="center"/>
                </w:tcPr>
                <w:p w14:paraId="1FCBC553">
                  <w:pPr>
                    <w:widowControl/>
                    <w:jc w:val="center"/>
                    <w:rPr>
                      <w:snapToGrid w:val="0"/>
                      <w:kern w:val="0"/>
                      <w:szCs w:val="21"/>
                      <w:lang w:bidi="ar"/>
                    </w:rPr>
                  </w:pPr>
                  <w:r>
                    <w:rPr>
                      <w:rFonts w:hint="eastAsia"/>
                      <w:snapToGrid w:val="0"/>
                      <w:kern w:val="0"/>
                      <w:szCs w:val="21"/>
                      <w:lang w:bidi="ar"/>
                    </w:rPr>
                    <w:t>名称</w:t>
                  </w:r>
                </w:p>
              </w:tc>
              <w:tc>
                <w:tcPr>
                  <w:tcW w:w="1615" w:type="dxa"/>
                  <w:vAlign w:val="center"/>
                </w:tcPr>
                <w:p w14:paraId="675DC15D">
                  <w:pPr>
                    <w:widowControl/>
                    <w:jc w:val="center"/>
                    <w:rPr>
                      <w:snapToGrid w:val="0"/>
                      <w:kern w:val="0"/>
                      <w:szCs w:val="21"/>
                      <w:lang w:bidi="ar"/>
                    </w:rPr>
                  </w:pPr>
                  <w:r>
                    <w:rPr>
                      <w:rFonts w:hint="eastAsia"/>
                      <w:snapToGrid w:val="0"/>
                      <w:kern w:val="0"/>
                      <w:szCs w:val="21"/>
                      <w:lang w:bidi="ar"/>
                    </w:rPr>
                    <w:t>挖方</w:t>
                  </w:r>
                </w:p>
              </w:tc>
              <w:tc>
                <w:tcPr>
                  <w:tcW w:w="1615" w:type="dxa"/>
                  <w:vAlign w:val="center"/>
                </w:tcPr>
                <w:p w14:paraId="12D0002E">
                  <w:pPr>
                    <w:widowControl/>
                    <w:jc w:val="center"/>
                    <w:rPr>
                      <w:snapToGrid w:val="0"/>
                      <w:kern w:val="0"/>
                      <w:szCs w:val="21"/>
                      <w:lang w:bidi="ar"/>
                    </w:rPr>
                  </w:pPr>
                  <w:r>
                    <w:rPr>
                      <w:rFonts w:hint="eastAsia"/>
                      <w:snapToGrid w:val="0"/>
                      <w:kern w:val="0"/>
                      <w:szCs w:val="21"/>
                      <w:lang w:bidi="ar"/>
                    </w:rPr>
                    <w:t>填方</w:t>
                  </w:r>
                </w:p>
              </w:tc>
              <w:tc>
                <w:tcPr>
                  <w:tcW w:w="1615" w:type="dxa"/>
                  <w:vAlign w:val="center"/>
                </w:tcPr>
                <w:p w14:paraId="50A38DB2">
                  <w:pPr>
                    <w:widowControl/>
                    <w:jc w:val="center"/>
                    <w:rPr>
                      <w:snapToGrid w:val="0"/>
                      <w:kern w:val="0"/>
                      <w:szCs w:val="21"/>
                      <w:lang w:bidi="ar"/>
                    </w:rPr>
                  </w:pPr>
                  <w:r>
                    <w:rPr>
                      <w:rFonts w:hint="eastAsia"/>
                      <w:snapToGrid w:val="0"/>
                      <w:kern w:val="0"/>
                      <w:szCs w:val="21"/>
                      <w:lang w:bidi="ar"/>
                    </w:rPr>
                    <w:t>借方</w:t>
                  </w:r>
                </w:p>
              </w:tc>
              <w:tc>
                <w:tcPr>
                  <w:tcW w:w="1615" w:type="dxa"/>
                  <w:vAlign w:val="center"/>
                </w:tcPr>
                <w:p w14:paraId="2D7FCD37">
                  <w:pPr>
                    <w:widowControl/>
                    <w:jc w:val="center"/>
                    <w:rPr>
                      <w:snapToGrid w:val="0"/>
                      <w:kern w:val="0"/>
                      <w:szCs w:val="21"/>
                      <w:lang w:bidi="ar"/>
                    </w:rPr>
                  </w:pPr>
                  <w:r>
                    <w:rPr>
                      <w:rFonts w:hint="eastAsia"/>
                      <w:snapToGrid w:val="0"/>
                      <w:kern w:val="0"/>
                      <w:szCs w:val="21"/>
                      <w:lang w:bidi="ar"/>
                    </w:rPr>
                    <w:t>余方</w:t>
                  </w:r>
                </w:p>
              </w:tc>
            </w:tr>
            <w:tr w14:paraId="13384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5" w:type="dxa"/>
                  <w:vAlign w:val="center"/>
                </w:tcPr>
                <w:p w14:paraId="1A18D827">
                  <w:pPr>
                    <w:widowControl/>
                    <w:jc w:val="center"/>
                    <w:rPr>
                      <w:snapToGrid w:val="0"/>
                      <w:kern w:val="0"/>
                      <w:szCs w:val="21"/>
                      <w:lang w:bidi="ar"/>
                    </w:rPr>
                  </w:pPr>
                  <w:r>
                    <w:rPr>
                      <w:rFonts w:hint="eastAsia"/>
                      <w:snapToGrid w:val="0"/>
                      <w:kern w:val="0"/>
                      <w:szCs w:val="21"/>
                      <w:lang w:bidi="ar"/>
                    </w:rPr>
                    <w:t>东侧厂区</w:t>
                  </w:r>
                </w:p>
              </w:tc>
              <w:tc>
                <w:tcPr>
                  <w:tcW w:w="1615" w:type="dxa"/>
                  <w:vAlign w:val="center"/>
                </w:tcPr>
                <w:p w14:paraId="4629163A">
                  <w:pPr>
                    <w:widowControl/>
                    <w:jc w:val="center"/>
                    <w:rPr>
                      <w:snapToGrid w:val="0"/>
                      <w:kern w:val="0"/>
                      <w:szCs w:val="21"/>
                      <w:lang w:bidi="ar"/>
                    </w:rPr>
                  </w:pPr>
                  <w:r>
                    <w:rPr>
                      <w:snapToGrid w:val="0"/>
                      <w:kern w:val="0"/>
                      <w:szCs w:val="21"/>
                      <w:lang w:bidi="ar"/>
                    </w:rPr>
                    <w:t>8173</w:t>
                  </w:r>
                </w:p>
              </w:tc>
              <w:tc>
                <w:tcPr>
                  <w:tcW w:w="1615" w:type="dxa"/>
                  <w:vAlign w:val="center"/>
                </w:tcPr>
                <w:p w14:paraId="3146828B">
                  <w:pPr>
                    <w:widowControl/>
                    <w:jc w:val="center"/>
                    <w:rPr>
                      <w:snapToGrid w:val="0"/>
                      <w:kern w:val="0"/>
                      <w:szCs w:val="21"/>
                      <w:lang w:bidi="ar"/>
                    </w:rPr>
                  </w:pPr>
                  <w:r>
                    <w:rPr>
                      <w:snapToGrid w:val="0"/>
                      <w:kern w:val="0"/>
                      <w:szCs w:val="21"/>
                      <w:lang w:bidi="ar"/>
                    </w:rPr>
                    <w:t>6168</w:t>
                  </w:r>
                </w:p>
              </w:tc>
              <w:tc>
                <w:tcPr>
                  <w:tcW w:w="1615" w:type="dxa"/>
                  <w:vAlign w:val="center"/>
                </w:tcPr>
                <w:p w14:paraId="790ACF4E">
                  <w:pPr>
                    <w:widowControl/>
                    <w:jc w:val="center"/>
                    <w:rPr>
                      <w:snapToGrid w:val="0"/>
                      <w:kern w:val="0"/>
                      <w:szCs w:val="21"/>
                      <w:lang w:bidi="ar"/>
                    </w:rPr>
                  </w:pPr>
                  <w:r>
                    <w:rPr>
                      <w:snapToGrid w:val="0"/>
                      <w:kern w:val="0"/>
                      <w:szCs w:val="21"/>
                      <w:lang w:bidi="ar"/>
                    </w:rPr>
                    <w:t>0</w:t>
                  </w:r>
                </w:p>
              </w:tc>
              <w:tc>
                <w:tcPr>
                  <w:tcW w:w="1615" w:type="dxa"/>
                  <w:vAlign w:val="center"/>
                </w:tcPr>
                <w:p w14:paraId="2EBFE81C">
                  <w:pPr>
                    <w:widowControl/>
                    <w:jc w:val="center"/>
                    <w:rPr>
                      <w:snapToGrid w:val="0"/>
                      <w:kern w:val="0"/>
                      <w:szCs w:val="21"/>
                      <w:lang w:bidi="ar"/>
                    </w:rPr>
                  </w:pPr>
                  <w:r>
                    <w:rPr>
                      <w:snapToGrid w:val="0"/>
                      <w:kern w:val="0"/>
                      <w:szCs w:val="21"/>
                      <w:lang w:bidi="ar"/>
                    </w:rPr>
                    <w:t>2005</w:t>
                  </w:r>
                </w:p>
              </w:tc>
            </w:tr>
            <w:tr w14:paraId="1A345C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5" w:type="dxa"/>
                  <w:vAlign w:val="center"/>
                </w:tcPr>
                <w:p w14:paraId="7238518E">
                  <w:pPr>
                    <w:widowControl/>
                    <w:jc w:val="center"/>
                    <w:rPr>
                      <w:snapToGrid w:val="0"/>
                      <w:kern w:val="0"/>
                      <w:szCs w:val="21"/>
                      <w:lang w:bidi="ar"/>
                    </w:rPr>
                  </w:pPr>
                  <w:r>
                    <w:rPr>
                      <w:rFonts w:hint="eastAsia"/>
                      <w:snapToGrid w:val="0"/>
                      <w:kern w:val="0"/>
                      <w:szCs w:val="21"/>
                      <w:lang w:bidi="ar"/>
                    </w:rPr>
                    <w:t>西侧厂区</w:t>
                  </w:r>
                </w:p>
              </w:tc>
              <w:tc>
                <w:tcPr>
                  <w:tcW w:w="1615" w:type="dxa"/>
                  <w:vAlign w:val="center"/>
                </w:tcPr>
                <w:p w14:paraId="759D99A9">
                  <w:pPr>
                    <w:widowControl/>
                    <w:jc w:val="center"/>
                    <w:rPr>
                      <w:snapToGrid w:val="0"/>
                      <w:kern w:val="0"/>
                      <w:szCs w:val="21"/>
                      <w:lang w:bidi="ar"/>
                    </w:rPr>
                  </w:pPr>
                  <w:r>
                    <w:rPr>
                      <w:snapToGrid w:val="0"/>
                      <w:kern w:val="0"/>
                      <w:szCs w:val="21"/>
                      <w:lang w:bidi="ar"/>
                    </w:rPr>
                    <w:t>4860</w:t>
                  </w:r>
                </w:p>
              </w:tc>
              <w:tc>
                <w:tcPr>
                  <w:tcW w:w="1615" w:type="dxa"/>
                  <w:vAlign w:val="center"/>
                </w:tcPr>
                <w:p w14:paraId="3A1CE9F2">
                  <w:pPr>
                    <w:widowControl/>
                    <w:jc w:val="center"/>
                    <w:rPr>
                      <w:snapToGrid w:val="0"/>
                      <w:kern w:val="0"/>
                      <w:szCs w:val="21"/>
                      <w:lang w:bidi="ar"/>
                    </w:rPr>
                  </w:pPr>
                  <w:r>
                    <w:rPr>
                      <w:snapToGrid w:val="0"/>
                      <w:kern w:val="0"/>
                      <w:szCs w:val="21"/>
                      <w:lang w:bidi="ar"/>
                    </w:rPr>
                    <w:t>6865</w:t>
                  </w:r>
                </w:p>
              </w:tc>
              <w:tc>
                <w:tcPr>
                  <w:tcW w:w="1615" w:type="dxa"/>
                  <w:vAlign w:val="center"/>
                </w:tcPr>
                <w:p w14:paraId="0247C501">
                  <w:pPr>
                    <w:widowControl/>
                    <w:jc w:val="center"/>
                    <w:rPr>
                      <w:snapToGrid w:val="0"/>
                      <w:kern w:val="0"/>
                      <w:szCs w:val="21"/>
                      <w:lang w:bidi="ar"/>
                    </w:rPr>
                  </w:pPr>
                  <w:r>
                    <w:rPr>
                      <w:snapToGrid w:val="0"/>
                      <w:kern w:val="0"/>
                      <w:szCs w:val="21"/>
                      <w:lang w:bidi="ar"/>
                    </w:rPr>
                    <w:t>2005</w:t>
                  </w:r>
                </w:p>
              </w:tc>
              <w:tc>
                <w:tcPr>
                  <w:tcW w:w="1615" w:type="dxa"/>
                  <w:vAlign w:val="center"/>
                </w:tcPr>
                <w:p w14:paraId="165D73E9">
                  <w:pPr>
                    <w:widowControl/>
                    <w:jc w:val="center"/>
                    <w:rPr>
                      <w:snapToGrid w:val="0"/>
                      <w:kern w:val="0"/>
                      <w:szCs w:val="21"/>
                      <w:lang w:bidi="ar"/>
                    </w:rPr>
                  </w:pPr>
                  <w:r>
                    <w:rPr>
                      <w:snapToGrid w:val="0"/>
                      <w:kern w:val="0"/>
                      <w:szCs w:val="21"/>
                      <w:lang w:bidi="ar"/>
                    </w:rPr>
                    <w:t>0</w:t>
                  </w:r>
                </w:p>
              </w:tc>
            </w:tr>
            <w:tr w14:paraId="1963A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5" w:type="dxa"/>
                  <w:vAlign w:val="center"/>
                </w:tcPr>
                <w:p w14:paraId="65BF4E74">
                  <w:pPr>
                    <w:widowControl/>
                    <w:jc w:val="center"/>
                    <w:rPr>
                      <w:snapToGrid w:val="0"/>
                      <w:kern w:val="0"/>
                      <w:szCs w:val="21"/>
                      <w:lang w:bidi="ar"/>
                    </w:rPr>
                  </w:pPr>
                  <w:r>
                    <w:rPr>
                      <w:rFonts w:hint="eastAsia"/>
                      <w:snapToGrid w:val="0"/>
                      <w:kern w:val="0"/>
                      <w:szCs w:val="21"/>
                      <w:lang w:bidi="ar"/>
                    </w:rPr>
                    <w:t>合计</w:t>
                  </w:r>
                </w:p>
              </w:tc>
              <w:tc>
                <w:tcPr>
                  <w:tcW w:w="1615" w:type="dxa"/>
                  <w:vAlign w:val="center"/>
                </w:tcPr>
                <w:p w14:paraId="7731AAA1">
                  <w:pPr>
                    <w:widowControl/>
                    <w:jc w:val="center"/>
                    <w:rPr>
                      <w:snapToGrid w:val="0"/>
                      <w:kern w:val="0"/>
                      <w:szCs w:val="21"/>
                      <w:lang w:bidi="ar"/>
                    </w:rPr>
                  </w:pPr>
                  <w:r>
                    <w:rPr>
                      <w:snapToGrid w:val="0"/>
                      <w:kern w:val="0"/>
                      <w:szCs w:val="21"/>
                      <w:lang w:bidi="ar"/>
                    </w:rPr>
                    <w:fldChar w:fldCharType="begin"/>
                  </w:r>
                  <w:r>
                    <w:rPr>
                      <w:snapToGrid w:val="0"/>
                      <w:kern w:val="0"/>
                      <w:szCs w:val="21"/>
                      <w:lang w:bidi="ar"/>
                    </w:rPr>
                    <w:instrText xml:space="preserve"> =SUM(ABOVE) </w:instrText>
                  </w:r>
                  <w:r>
                    <w:rPr>
                      <w:snapToGrid w:val="0"/>
                      <w:kern w:val="0"/>
                      <w:szCs w:val="21"/>
                      <w:lang w:bidi="ar"/>
                    </w:rPr>
                    <w:fldChar w:fldCharType="separate"/>
                  </w:r>
                  <w:r>
                    <w:rPr>
                      <w:snapToGrid w:val="0"/>
                      <w:kern w:val="0"/>
                      <w:szCs w:val="21"/>
                      <w:lang w:bidi="ar"/>
                    </w:rPr>
                    <w:t>13033</w:t>
                  </w:r>
                  <w:r>
                    <w:rPr>
                      <w:snapToGrid w:val="0"/>
                      <w:kern w:val="0"/>
                      <w:szCs w:val="21"/>
                      <w:lang w:bidi="ar"/>
                    </w:rPr>
                    <w:fldChar w:fldCharType="end"/>
                  </w:r>
                </w:p>
              </w:tc>
              <w:tc>
                <w:tcPr>
                  <w:tcW w:w="1615" w:type="dxa"/>
                  <w:vAlign w:val="center"/>
                </w:tcPr>
                <w:p w14:paraId="476BD14F">
                  <w:pPr>
                    <w:widowControl/>
                    <w:jc w:val="center"/>
                    <w:rPr>
                      <w:snapToGrid w:val="0"/>
                      <w:kern w:val="0"/>
                      <w:szCs w:val="21"/>
                      <w:lang w:bidi="ar"/>
                    </w:rPr>
                  </w:pPr>
                  <w:r>
                    <w:rPr>
                      <w:snapToGrid w:val="0"/>
                      <w:kern w:val="0"/>
                      <w:szCs w:val="21"/>
                      <w:lang w:bidi="ar"/>
                    </w:rPr>
                    <w:fldChar w:fldCharType="begin"/>
                  </w:r>
                  <w:r>
                    <w:rPr>
                      <w:snapToGrid w:val="0"/>
                      <w:kern w:val="0"/>
                      <w:szCs w:val="21"/>
                      <w:lang w:bidi="ar"/>
                    </w:rPr>
                    <w:instrText xml:space="preserve"> =SUM(ABOVE) </w:instrText>
                  </w:r>
                  <w:r>
                    <w:rPr>
                      <w:snapToGrid w:val="0"/>
                      <w:kern w:val="0"/>
                      <w:szCs w:val="21"/>
                      <w:lang w:bidi="ar"/>
                    </w:rPr>
                    <w:fldChar w:fldCharType="separate"/>
                  </w:r>
                  <w:r>
                    <w:rPr>
                      <w:snapToGrid w:val="0"/>
                      <w:kern w:val="0"/>
                      <w:szCs w:val="21"/>
                      <w:lang w:bidi="ar"/>
                    </w:rPr>
                    <w:t>13033</w:t>
                  </w:r>
                  <w:r>
                    <w:rPr>
                      <w:snapToGrid w:val="0"/>
                      <w:kern w:val="0"/>
                      <w:szCs w:val="21"/>
                      <w:lang w:bidi="ar"/>
                    </w:rPr>
                    <w:fldChar w:fldCharType="end"/>
                  </w:r>
                </w:p>
              </w:tc>
              <w:tc>
                <w:tcPr>
                  <w:tcW w:w="1615" w:type="dxa"/>
                  <w:vAlign w:val="center"/>
                </w:tcPr>
                <w:p w14:paraId="0E49900E">
                  <w:pPr>
                    <w:widowControl/>
                    <w:jc w:val="center"/>
                    <w:rPr>
                      <w:snapToGrid w:val="0"/>
                      <w:kern w:val="0"/>
                      <w:szCs w:val="21"/>
                      <w:lang w:bidi="ar"/>
                    </w:rPr>
                  </w:pPr>
                  <w:r>
                    <w:rPr>
                      <w:snapToGrid w:val="0"/>
                      <w:kern w:val="0"/>
                      <w:szCs w:val="21"/>
                      <w:lang w:bidi="ar"/>
                    </w:rPr>
                    <w:fldChar w:fldCharType="begin"/>
                  </w:r>
                  <w:r>
                    <w:rPr>
                      <w:snapToGrid w:val="0"/>
                      <w:kern w:val="0"/>
                      <w:szCs w:val="21"/>
                      <w:lang w:bidi="ar"/>
                    </w:rPr>
                    <w:instrText xml:space="preserve"> =SUM(ABOVE) </w:instrText>
                  </w:r>
                  <w:r>
                    <w:rPr>
                      <w:snapToGrid w:val="0"/>
                      <w:kern w:val="0"/>
                      <w:szCs w:val="21"/>
                      <w:lang w:bidi="ar"/>
                    </w:rPr>
                    <w:fldChar w:fldCharType="separate"/>
                  </w:r>
                  <w:r>
                    <w:rPr>
                      <w:snapToGrid w:val="0"/>
                      <w:kern w:val="0"/>
                      <w:szCs w:val="21"/>
                      <w:lang w:bidi="ar"/>
                    </w:rPr>
                    <w:t>2005</w:t>
                  </w:r>
                  <w:r>
                    <w:rPr>
                      <w:snapToGrid w:val="0"/>
                      <w:kern w:val="0"/>
                      <w:szCs w:val="21"/>
                      <w:lang w:bidi="ar"/>
                    </w:rPr>
                    <w:fldChar w:fldCharType="end"/>
                  </w:r>
                </w:p>
              </w:tc>
              <w:tc>
                <w:tcPr>
                  <w:tcW w:w="1615" w:type="dxa"/>
                  <w:vAlign w:val="center"/>
                </w:tcPr>
                <w:p w14:paraId="37282016">
                  <w:pPr>
                    <w:widowControl/>
                    <w:jc w:val="center"/>
                    <w:rPr>
                      <w:snapToGrid w:val="0"/>
                      <w:kern w:val="0"/>
                      <w:szCs w:val="21"/>
                      <w:lang w:bidi="ar"/>
                    </w:rPr>
                  </w:pPr>
                  <w:r>
                    <w:rPr>
                      <w:snapToGrid w:val="0"/>
                      <w:kern w:val="0"/>
                      <w:szCs w:val="21"/>
                      <w:lang w:bidi="ar"/>
                    </w:rPr>
                    <w:fldChar w:fldCharType="begin"/>
                  </w:r>
                  <w:r>
                    <w:rPr>
                      <w:snapToGrid w:val="0"/>
                      <w:kern w:val="0"/>
                      <w:szCs w:val="21"/>
                      <w:lang w:bidi="ar"/>
                    </w:rPr>
                    <w:instrText xml:space="preserve"> =SUM(ABOVE) </w:instrText>
                  </w:r>
                  <w:r>
                    <w:rPr>
                      <w:snapToGrid w:val="0"/>
                      <w:kern w:val="0"/>
                      <w:szCs w:val="21"/>
                      <w:lang w:bidi="ar"/>
                    </w:rPr>
                    <w:fldChar w:fldCharType="separate"/>
                  </w:r>
                  <w:r>
                    <w:rPr>
                      <w:snapToGrid w:val="0"/>
                      <w:kern w:val="0"/>
                      <w:szCs w:val="21"/>
                      <w:lang w:bidi="ar"/>
                    </w:rPr>
                    <w:t>2005</w:t>
                  </w:r>
                  <w:r>
                    <w:rPr>
                      <w:snapToGrid w:val="0"/>
                      <w:kern w:val="0"/>
                      <w:szCs w:val="21"/>
                      <w:lang w:bidi="ar"/>
                    </w:rPr>
                    <w:fldChar w:fldCharType="end"/>
                  </w:r>
                </w:p>
              </w:tc>
            </w:tr>
          </w:tbl>
          <w:p w14:paraId="2412019C">
            <w:pPr>
              <w:widowControl/>
              <w:spacing w:line="360" w:lineRule="auto"/>
              <w:jc w:val="left"/>
              <w:rPr>
                <w:b/>
                <w:kern w:val="0"/>
                <w:sz w:val="24"/>
              </w:rPr>
            </w:pPr>
            <w:r>
              <w:rPr>
                <w:rFonts w:hint="eastAsia"/>
                <w:b/>
                <w:kern w:val="0"/>
                <w:sz w:val="24"/>
              </w:rPr>
              <w:t>4.1.6</w:t>
            </w:r>
            <w:r>
              <w:rPr>
                <w:b/>
                <w:kern w:val="0"/>
                <w:sz w:val="24"/>
              </w:rPr>
              <w:t>施工期生态环境</w:t>
            </w:r>
            <w:r>
              <w:rPr>
                <w:rFonts w:hint="eastAsia"/>
                <w:b/>
                <w:kern w:val="0"/>
                <w:sz w:val="24"/>
              </w:rPr>
              <w:t>保护措施</w:t>
            </w:r>
          </w:p>
          <w:p w14:paraId="61D48753">
            <w:pPr>
              <w:widowControl/>
              <w:spacing w:line="360" w:lineRule="auto"/>
              <w:ind w:firstLine="480" w:firstLineChars="200"/>
              <w:jc w:val="left"/>
              <w:rPr>
                <w:bCs/>
                <w:kern w:val="0"/>
                <w:sz w:val="24"/>
              </w:rPr>
            </w:pPr>
            <w:r>
              <w:rPr>
                <w:rFonts w:hint="eastAsia"/>
                <w:bCs/>
                <w:kern w:val="0"/>
                <w:sz w:val="24"/>
              </w:rPr>
              <w:t>（1）</w:t>
            </w:r>
            <w:r>
              <w:rPr>
                <w:bCs/>
                <w:kern w:val="0"/>
                <w:sz w:val="24"/>
              </w:rPr>
              <w:t>在施工过程中要采取以下环保措施</w:t>
            </w:r>
          </w:p>
          <w:p w14:paraId="31586A33">
            <w:pPr>
              <w:widowControl/>
              <w:spacing w:line="360" w:lineRule="auto"/>
              <w:ind w:firstLine="480" w:firstLineChars="200"/>
              <w:jc w:val="left"/>
              <w:rPr>
                <w:bCs/>
                <w:kern w:val="0"/>
                <w:sz w:val="24"/>
              </w:rPr>
            </w:pPr>
            <w:r>
              <w:rPr>
                <w:rFonts w:hint="eastAsia" w:ascii="宋体" w:hAnsi="宋体" w:cs="宋体"/>
                <w:bCs/>
                <w:kern w:val="0"/>
                <w:sz w:val="24"/>
              </w:rPr>
              <w:t>①</w:t>
            </w:r>
            <w:r>
              <w:rPr>
                <w:bCs/>
                <w:kern w:val="0"/>
                <w:sz w:val="24"/>
              </w:rPr>
              <w:t>要对建筑材料设专门的堆棚或设置围档。</w:t>
            </w:r>
          </w:p>
          <w:p w14:paraId="4FAC2706">
            <w:pPr>
              <w:widowControl/>
              <w:spacing w:line="360" w:lineRule="auto"/>
              <w:ind w:firstLine="480" w:firstLineChars="200"/>
              <w:rPr>
                <w:bCs/>
                <w:kern w:val="0"/>
                <w:sz w:val="24"/>
              </w:rPr>
            </w:pPr>
            <w:r>
              <w:rPr>
                <w:rFonts w:hint="eastAsia" w:ascii="宋体" w:hAnsi="宋体" w:cs="宋体"/>
                <w:bCs/>
                <w:kern w:val="0"/>
                <w:sz w:val="24"/>
              </w:rPr>
              <w:t>②</w:t>
            </w:r>
            <w:r>
              <w:rPr>
                <w:bCs/>
                <w:kern w:val="0"/>
                <w:sz w:val="24"/>
              </w:rPr>
              <w:t>施工期应尽量避开雨天，并及时夯实地面；对暂不开发处进行绿化，减少水土流失。</w:t>
            </w:r>
          </w:p>
          <w:p w14:paraId="1247DD5D">
            <w:pPr>
              <w:widowControl/>
              <w:spacing w:line="360" w:lineRule="auto"/>
              <w:ind w:firstLine="480" w:firstLineChars="200"/>
              <w:rPr>
                <w:bCs/>
                <w:kern w:val="0"/>
                <w:sz w:val="24"/>
              </w:rPr>
            </w:pPr>
            <w:r>
              <w:rPr>
                <w:rFonts w:hint="eastAsia" w:ascii="宋体" w:hAnsi="宋体" w:cs="宋体"/>
                <w:bCs/>
                <w:kern w:val="0"/>
                <w:sz w:val="24"/>
              </w:rPr>
              <w:t>③</w:t>
            </w:r>
            <w:r>
              <w:rPr>
                <w:bCs/>
                <w:kern w:val="0"/>
                <w:sz w:val="24"/>
              </w:rPr>
              <w:t>施工结束后对施工场地平整，及时按设计要求硬化路面或进行绿化。</w:t>
            </w:r>
          </w:p>
          <w:p w14:paraId="3631F97E">
            <w:pPr>
              <w:widowControl/>
              <w:spacing w:line="360" w:lineRule="auto"/>
              <w:ind w:firstLine="480" w:firstLineChars="200"/>
              <w:rPr>
                <w:bCs/>
                <w:kern w:val="0"/>
                <w:sz w:val="24"/>
              </w:rPr>
            </w:pPr>
            <w:r>
              <w:rPr>
                <w:rFonts w:hint="eastAsia"/>
                <w:bCs/>
                <w:kern w:val="0"/>
                <w:sz w:val="24"/>
              </w:rPr>
              <w:t>（2）</w:t>
            </w:r>
            <w:r>
              <w:rPr>
                <w:bCs/>
                <w:kern w:val="0"/>
                <w:sz w:val="24"/>
              </w:rPr>
              <w:t>绿化方案</w:t>
            </w:r>
          </w:p>
          <w:p w14:paraId="2E81B6EC">
            <w:pPr>
              <w:widowControl/>
              <w:spacing w:line="360" w:lineRule="auto"/>
              <w:ind w:firstLine="480" w:firstLineChars="200"/>
              <w:rPr>
                <w:bCs/>
                <w:kern w:val="0"/>
                <w:sz w:val="24"/>
              </w:rPr>
            </w:pPr>
            <w:r>
              <w:rPr>
                <w:bCs/>
                <w:kern w:val="0"/>
                <w:sz w:val="24"/>
              </w:rPr>
              <w:t>环评建议场区内道路两侧可根据需要种植灌木，树木</w:t>
            </w:r>
            <w:r>
              <w:rPr>
                <w:rFonts w:hint="eastAsia"/>
                <w:bCs/>
                <w:kern w:val="0"/>
                <w:sz w:val="24"/>
              </w:rPr>
              <w:t>，</w:t>
            </w:r>
            <w:r>
              <w:rPr>
                <w:bCs/>
                <w:kern w:val="0"/>
                <w:sz w:val="24"/>
              </w:rPr>
              <w:t>对污染物具有一定的吸滞和阻挡作用，使空气得到净化，使生态环境得到一定的改善。</w:t>
            </w:r>
          </w:p>
          <w:p w14:paraId="3112E799">
            <w:pPr>
              <w:widowControl/>
              <w:spacing w:line="360" w:lineRule="auto"/>
              <w:ind w:firstLine="480" w:firstLineChars="200"/>
              <w:rPr>
                <w:bCs/>
                <w:kern w:val="0"/>
                <w:sz w:val="24"/>
              </w:rPr>
            </w:pPr>
          </w:p>
          <w:p w14:paraId="1AE3781A">
            <w:pPr>
              <w:widowControl/>
              <w:spacing w:line="360" w:lineRule="auto"/>
              <w:ind w:firstLine="480" w:firstLineChars="200"/>
              <w:rPr>
                <w:bCs/>
                <w:kern w:val="0"/>
                <w:sz w:val="24"/>
              </w:rPr>
            </w:pPr>
          </w:p>
          <w:p w14:paraId="7AA82306">
            <w:pPr>
              <w:widowControl/>
              <w:spacing w:line="360" w:lineRule="auto"/>
              <w:ind w:firstLine="480" w:firstLineChars="200"/>
              <w:rPr>
                <w:bCs/>
                <w:kern w:val="0"/>
                <w:sz w:val="24"/>
              </w:rPr>
            </w:pPr>
          </w:p>
          <w:p w14:paraId="0C20CA9C">
            <w:pPr>
              <w:widowControl/>
              <w:spacing w:line="360" w:lineRule="auto"/>
              <w:ind w:firstLine="480" w:firstLineChars="200"/>
              <w:rPr>
                <w:bCs/>
                <w:kern w:val="0"/>
                <w:sz w:val="24"/>
              </w:rPr>
            </w:pPr>
          </w:p>
          <w:p w14:paraId="453CA800">
            <w:pPr>
              <w:widowControl/>
              <w:spacing w:line="360" w:lineRule="auto"/>
              <w:ind w:firstLine="480" w:firstLineChars="200"/>
              <w:rPr>
                <w:bCs/>
                <w:kern w:val="0"/>
                <w:sz w:val="24"/>
              </w:rPr>
            </w:pPr>
          </w:p>
          <w:p w14:paraId="52B5F249">
            <w:pPr>
              <w:widowControl/>
              <w:spacing w:line="360" w:lineRule="auto"/>
              <w:ind w:firstLine="480" w:firstLineChars="200"/>
              <w:rPr>
                <w:bCs/>
                <w:kern w:val="0"/>
                <w:sz w:val="24"/>
              </w:rPr>
            </w:pPr>
          </w:p>
          <w:p w14:paraId="5067BAC1">
            <w:pPr>
              <w:widowControl/>
              <w:spacing w:line="360" w:lineRule="auto"/>
              <w:ind w:firstLine="480" w:firstLineChars="200"/>
              <w:rPr>
                <w:bCs/>
                <w:kern w:val="0"/>
                <w:sz w:val="24"/>
              </w:rPr>
            </w:pPr>
          </w:p>
          <w:p w14:paraId="273CAA60">
            <w:pPr>
              <w:widowControl/>
              <w:spacing w:line="360" w:lineRule="auto"/>
              <w:ind w:firstLine="480" w:firstLineChars="200"/>
              <w:rPr>
                <w:bCs/>
                <w:kern w:val="0"/>
                <w:sz w:val="24"/>
              </w:rPr>
            </w:pPr>
          </w:p>
          <w:p w14:paraId="6C29EEE2">
            <w:pPr>
              <w:widowControl/>
              <w:spacing w:line="360" w:lineRule="auto"/>
              <w:ind w:firstLine="480" w:firstLineChars="200"/>
              <w:rPr>
                <w:bCs/>
                <w:kern w:val="0"/>
                <w:sz w:val="24"/>
              </w:rPr>
            </w:pPr>
          </w:p>
          <w:p w14:paraId="63282C7E">
            <w:pPr>
              <w:widowControl/>
              <w:spacing w:line="360" w:lineRule="auto"/>
              <w:ind w:firstLine="480" w:firstLineChars="200"/>
              <w:rPr>
                <w:bCs/>
                <w:kern w:val="0"/>
                <w:sz w:val="24"/>
              </w:rPr>
            </w:pPr>
          </w:p>
          <w:p w14:paraId="05FD4AF9">
            <w:pPr>
              <w:widowControl/>
              <w:spacing w:line="360" w:lineRule="auto"/>
              <w:ind w:firstLine="480" w:firstLineChars="200"/>
              <w:rPr>
                <w:bCs/>
                <w:kern w:val="0"/>
                <w:sz w:val="24"/>
              </w:rPr>
            </w:pPr>
          </w:p>
          <w:p w14:paraId="363D22AD">
            <w:pPr>
              <w:widowControl/>
              <w:spacing w:before="240" w:beforeLines="100" w:line="360" w:lineRule="auto"/>
              <w:rPr>
                <w:bCs/>
                <w:kern w:val="0"/>
                <w:sz w:val="24"/>
              </w:rPr>
            </w:pPr>
          </w:p>
        </w:tc>
      </w:tr>
      <w:tr w14:paraId="0E5F5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0" w:hRule="atLeast"/>
          <w:jc w:val="center"/>
        </w:trPr>
        <w:tc>
          <w:tcPr>
            <w:tcW w:w="458" w:type="dxa"/>
            <w:tcMar>
              <w:left w:w="28" w:type="dxa"/>
              <w:right w:w="28" w:type="dxa"/>
            </w:tcMar>
            <w:vAlign w:val="center"/>
          </w:tcPr>
          <w:p w14:paraId="4FBDB17B">
            <w:pPr>
              <w:adjustRightInd w:val="0"/>
              <w:snapToGrid w:val="0"/>
              <w:jc w:val="center"/>
              <w:rPr>
                <w:rFonts w:hint="eastAsia" w:ascii="宋体" w:hAnsi="宋体" w:cs="宋体"/>
                <w:bCs/>
                <w:sz w:val="24"/>
              </w:rPr>
            </w:pPr>
            <w:r>
              <w:rPr>
                <w:rFonts w:hint="eastAsia" w:ascii="宋体" w:hAnsi="宋体" w:cs="宋体"/>
                <w:bCs/>
                <w:sz w:val="24"/>
              </w:rPr>
              <w:t>运营</w:t>
            </w:r>
          </w:p>
          <w:p w14:paraId="3B4E90F4">
            <w:pPr>
              <w:adjustRightInd w:val="0"/>
              <w:snapToGrid w:val="0"/>
              <w:jc w:val="center"/>
              <w:rPr>
                <w:rFonts w:hint="eastAsia" w:ascii="宋体" w:hAnsi="宋体" w:cs="宋体"/>
                <w:bCs/>
                <w:sz w:val="24"/>
              </w:rPr>
            </w:pPr>
            <w:r>
              <w:rPr>
                <w:rFonts w:hint="eastAsia" w:ascii="宋体" w:hAnsi="宋体" w:cs="宋体"/>
                <w:bCs/>
                <w:sz w:val="24"/>
              </w:rPr>
              <w:t>期环</w:t>
            </w:r>
          </w:p>
          <w:p w14:paraId="501BAF3D">
            <w:pPr>
              <w:adjustRightInd w:val="0"/>
              <w:snapToGrid w:val="0"/>
              <w:jc w:val="center"/>
              <w:rPr>
                <w:rFonts w:hint="eastAsia" w:ascii="宋体" w:hAnsi="宋体" w:cs="宋体"/>
                <w:bCs/>
                <w:sz w:val="24"/>
              </w:rPr>
            </w:pPr>
            <w:r>
              <w:rPr>
                <w:rFonts w:hint="eastAsia" w:ascii="宋体" w:hAnsi="宋体" w:cs="宋体"/>
                <w:bCs/>
                <w:sz w:val="24"/>
              </w:rPr>
              <w:t>境影</w:t>
            </w:r>
          </w:p>
          <w:p w14:paraId="511EA5C1">
            <w:pPr>
              <w:adjustRightInd w:val="0"/>
              <w:snapToGrid w:val="0"/>
              <w:jc w:val="center"/>
              <w:rPr>
                <w:rFonts w:hint="eastAsia" w:ascii="宋体" w:hAnsi="宋体" w:cs="宋体"/>
                <w:bCs/>
                <w:sz w:val="24"/>
              </w:rPr>
            </w:pPr>
            <w:r>
              <w:rPr>
                <w:rFonts w:hint="eastAsia" w:ascii="宋体" w:hAnsi="宋体" w:cs="宋体"/>
                <w:bCs/>
                <w:sz w:val="24"/>
              </w:rPr>
              <w:t>响和</w:t>
            </w:r>
          </w:p>
          <w:p w14:paraId="1FC9BADA">
            <w:pPr>
              <w:adjustRightInd w:val="0"/>
              <w:snapToGrid w:val="0"/>
              <w:jc w:val="center"/>
              <w:rPr>
                <w:rFonts w:hint="eastAsia" w:ascii="宋体" w:hAnsi="宋体" w:cs="宋体"/>
                <w:bCs/>
                <w:sz w:val="24"/>
              </w:rPr>
            </w:pPr>
            <w:r>
              <w:rPr>
                <w:rFonts w:hint="eastAsia" w:ascii="宋体" w:hAnsi="宋体" w:cs="宋体"/>
                <w:bCs/>
                <w:sz w:val="24"/>
              </w:rPr>
              <w:t>保护</w:t>
            </w:r>
          </w:p>
          <w:p w14:paraId="1911F997">
            <w:pPr>
              <w:adjustRightInd w:val="0"/>
              <w:snapToGrid w:val="0"/>
              <w:jc w:val="center"/>
              <w:rPr>
                <w:rFonts w:hint="eastAsia" w:ascii="宋体" w:hAnsi="宋体" w:cs="宋体"/>
                <w:bCs/>
                <w:szCs w:val="21"/>
              </w:rPr>
            </w:pPr>
            <w:r>
              <w:rPr>
                <w:rFonts w:hint="eastAsia" w:ascii="宋体" w:hAnsi="宋体" w:cs="宋体"/>
                <w:bCs/>
                <w:sz w:val="24"/>
              </w:rPr>
              <w:t>措施</w:t>
            </w:r>
          </w:p>
        </w:tc>
        <w:tc>
          <w:tcPr>
            <w:tcW w:w="8450" w:type="dxa"/>
            <w:vAlign w:val="center"/>
          </w:tcPr>
          <w:p w14:paraId="61A0D8C4">
            <w:pPr>
              <w:adjustRightInd w:val="0"/>
              <w:snapToGrid w:val="0"/>
              <w:spacing w:line="360" w:lineRule="auto"/>
              <w:jc w:val="left"/>
              <w:rPr>
                <w:b/>
                <w:color w:val="000000"/>
                <w:kern w:val="0"/>
                <w:sz w:val="24"/>
              </w:rPr>
            </w:pPr>
            <w:r>
              <w:rPr>
                <w:b/>
                <w:sz w:val="24"/>
              </w:rPr>
              <w:t>4.2 运营期环境影响和保护措施</w:t>
            </w:r>
          </w:p>
          <w:p w14:paraId="72A8B8E8">
            <w:pPr>
              <w:adjustRightInd w:val="0"/>
              <w:snapToGrid w:val="0"/>
              <w:spacing w:line="360" w:lineRule="auto"/>
              <w:rPr>
                <w:b/>
                <w:sz w:val="24"/>
              </w:rPr>
            </w:pPr>
            <w:r>
              <w:rPr>
                <w:b/>
                <w:sz w:val="24"/>
              </w:rPr>
              <w:t xml:space="preserve">4.2.1 </w:t>
            </w:r>
            <w:r>
              <w:rPr>
                <w:rFonts w:hint="eastAsia"/>
                <w:b/>
                <w:sz w:val="24"/>
              </w:rPr>
              <w:t>废气</w:t>
            </w:r>
          </w:p>
          <w:p w14:paraId="4DCA9717">
            <w:pPr>
              <w:spacing w:line="360" w:lineRule="auto"/>
              <w:ind w:firstLine="482" w:firstLineChars="200"/>
              <w:rPr>
                <w:b/>
                <w:bCs/>
                <w:kern w:val="0"/>
                <w:sz w:val="24"/>
              </w:rPr>
            </w:pPr>
            <w:r>
              <w:rPr>
                <w:rFonts w:hint="eastAsia"/>
                <w:b/>
                <w:bCs/>
                <w:kern w:val="0"/>
                <w:sz w:val="24"/>
              </w:rPr>
              <w:t>1.本项目废气产生情况</w:t>
            </w:r>
          </w:p>
          <w:p w14:paraId="70131C1A">
            <w:pPr>
              <w:spacing w:line="360" w:lineRule="auto"/>
              <w:ind w:firstLine="482" w:firstLineChars="200"/>
              <w:rPr>
                <w:b/>
                <w:bCs/>
                <w:kern w:val="0"/>
                <w:sz w:val="24"/>
              </w:rPr>
            </w:pPr>
            <w:r>
              <w:rPr>
                <w:rFonts w:hint="eastAsia"/>
                <w:b/>
                <w:bCs/>
                <w:kern w:val="0"/>
                <w:sz w:val="24"/>
              </w:rPr>
              <w:t>（1）运输扬尘</w:t>
            </w:r>
          </w:p>
          <w:p w14:paraId="282A0DFA">
            <w:pPr>
              <w:spacing w:line="360" w:lineRule="auto"/>
              <w:ind w:firstLine="480" w:firstLineChars="200"/>
              <w:rPr>
                <w:kern w:val="0"/>
                <w:sz w:val="24"/>
              </w:rPr>
            </w:pPr>
            <w:r>
              <w:rPr>
                <w:rFonts w:hint="eastAsia"/>
                <w:kern w:val="0"/>
                <w:sz w:val="24"/>
              </w:rPr>
              <w:t>原料和产品均采用汽车运输，汽车运输起尘量较大。为了减少道路扬尘对大气环境的污染，本次评价提出减轻运输扬尘的防治措施如下：</w:t>
            </w:r>
          </w:p>
          <w:p w14:paraId="70670576">
            <w:pPr>
              <w:spacing w:line="360" w:lineRule="auto"/>
              <w:ind w:firstLine="480" w:firstLineChars="200"/>
              <w:rPr>
                <w:kern w:val="0"/>
                <w:sz w:val="24"/>
              </w:rPr>
            </w:pPr>
            <w:r>
              <w:rPr>
                <w:rFonts w:hint="eastAsia" w:ascii="宋体" w:hAnsi="宋体"/>
                <w:kern w:val="0"/>
                <w:sz w:val="24"/>
              </w:rPr>
              <w:t>①</w:t>
            </w:r>
            <w:r>
              <w:rPr>
                <w:rFonts w:hint="eastAsia"/>
                <w:kern w:val="0"/>
                <w:sz w:val="24"/>
              </w:rPr>
              <w:t>项目厂区、储库、运输道路全部硬化处理。本次评价要求建设单位在运输过程中应注意保持厂区道路路面的清洁和相对湿度，当路面出现损坏及时修复，对运输道路要进行定时洒水，并应视路面状况调整洒水频次；</w:t>
            </w:r>
          </w:p>
          <w:p w14:paraId="3B49714F">
            <w:pPr>
              <w:spacing w:line="360" w:lineRule="auto"/>
              <w:ind w:firstLine="480" w:firstLineChars="200"/>
              <w:rPr>
                <w:kern w:val="0"/>
                <w:sz w:val="24"/>
              </w:rPr>
            </w:pPr>
            <w:r>
              <w:rPr>
                <w:rFonts w:hint="eastAsia" w:ascii="宋体" w:hAnsi="宋体"/>
                <w:kern w:val="0"/>
                <w:sz w:val="24"/>
              </w:rPr>
              <w:t>②</w:t>
            </w:r>
            <w:r>
              <w:rPr>
                <w:rFonts w:hint="eastAsia"/>
                <w:kern w:val="0"/>
                <w:sz w:val="24"/>
              </w:rPr>
              <w:t>厂区出入口设置标准化洗车平台，运输车辆驶离厂区前应对车辆轮胎及车身进行清洗、清洁，不得带泥上路；</w:t>
            </w:r>
          </w:p>
          <w:p w14:paraId="0B8CBDD7">
            <w:pPr>
              <w:spacing w:line="360" w:lineRule="auto"/>
              <w:ind w:firstLine="480" w:firstLineChars="200"/>
              <w:rPr>
                <w:kern w:val="0"/>
                <w:sz w:val="24"/>
              </w:rPr>
            </w:pPr>
            <w:r>
              <w:rPr>
                <w:rFonts w:hint="eastAsia" w:ascii="宋体" w:hAnsi="宋体"/>
                <w:kern w:val="0"/>
                <w:sz w:val="24"/>
              </w:rPr>
              <w:t>③</w:t>
            </w:r>
            <w:r>
              <w:rPr>
                <w:rFonts w:hint="eastAsia"/>
                <w:kern w:val="0"/>
                <w:sz w:val="24"/>
              </w:rPr>
              <w:t>厂内转运车辆（装载机）采用国四及以上排放标准的重型车或新能源，严格执行《非道路移动机械用柴油机排气污染物排放限值及测量方法(中国第三、四阶段）》（GB 20891—2014）及其修改单中相关排放限值标准；外部运输全部采用新能源汽车或达到国六排放标准的全封闭绿色厢车运输；</w:t>
            </w:r>
          </w:p>
          <w:p w14:paraId="315BA84A">
            <w:pPr>
              <w:spacing w:line="360" w:lineRule="auto"/>
              <w:ind w:firstLine="480" w:firstLineChars="200"/>
              <w:rPr>
                <w:kern w:val="0"/>
                <w:sz w:val="24"/>
              </w:rPr>
            </w:pPr>
            <w:r>
              <w:rPr>
                <w:rFonts w:hint="eastAsia" w:ascii="宋体" w:hAnsi="宋体"/>
                <w:kern w:val="0"/>
                <w:sz w:val="24"/>
              </w:rPr>
              <w:t>④</w:t>
            </w:r>
            <w:r>
              <w:rPr>
                <w:rFonts w:hint="eastAsia"/>
                <w:kern w:val="0"/>
                <w:sz w:val="24"/>
              </w:rPr>
              <w:t>按照国家核定的汽车装载能力，严格控制汽车装载量，限制车速；</w:t>
            </w:r>
          </w:p>
          <w:p w14:paraId="2453E7CA">
            <w:pPr>
              <w:spacing w:line="360" w:lineRule="auto"/>
              <w:ind w:firstLine="480" w:firstLineChars="200"/>
              <w:rPr>
                <w:kern w:val="0"/>
                <w:sz w:val="24"/>
              </w:rPr>
            </w:pPr>
            <w:r>
              <w:rPr>
                <w:rFonts w:hint="eastAsia" w:ascii="宋体" w:hAnsi="宋体"/>
                <w:kern w:val="0"/>
                <w:sz w:val="24"/>
              </w:rPr>
              <w:t>⑤</w:t>
            </w:r>
            <w:r>
              <w:rPr>
                <w:rFonts w:hint="eastAsia"/>
                <w:kern w:val="0"/>
                <w:sz w:val="24"/>
              </w:rPr>
              <w:t>车辆运输过程中加盖篷布、限制车速，最大限度地减少物料洒落。</w:t>
            </w:r>
          </w:p>
          <w:p w14:paraId="41F0001B">
            <w:pPr>
              <w:spacing w:line="360" w:lineRule="auto"/>
              <w:ind w:firstLine="480" w:firstLineChars="200"/>
              <w:rPr>
                <w:kern w:val="0"/>
                <w:sz w:val="24"/>
              </w:rPr>
            </w:pPr>
            <w:r>
              <w:rPr>
                <w:rFonts w:hint="eastAsia"/>
                <w:kern w:val="0"/>
                <w:sz w:val="24"/>
              </w:rPr>
              <w:t>运输过程起尘量计算依据环境保护部公告〔2014〕第92号“关于发布《大气可吸入颗粒物一次源排放清单编制技术指南（试行）》等5项技术指南的公告”，参照《扬尘源颗粒物排放清单编制技术指南（试行）》中道路扬尘源排放量计算方法，道路扬尘量等于调查区域所有铺装道路与非铺装道路扬尘量的总和。</w:t>
            </w:r>
          </w:p>
          <w:p w14:paraId="2F40EFD7">
            <w:pPr>
              <w:spacing w:line="360" w:lineRule="auto"/>
              <w:ind w:firstLine="480" w:firstLineChars="200"/>
              <w:rPr>
                <w:kern w:val="0"/>
                <w:sz w:val="24"/>
              </w:rPr>
            </w:pPr>
            <w:r>
              <w:rPr>
                <w:rFonts w:hint="eastAsia"/>
                <w:kern w:val="0"/>
                <w:sz w:val="24"/>
              </w:rPr>
              <w:t>本项目进厂道路将全部硬化处理，对于铺装道路，道路扬尘源排放系数计算公式如下：</w:t>
            </w:r>
          </w:p>
          <w:p w14:paraId="693DD163">
            <w:pPr>
              <w:jc w:val="center"/>
              <w:rPr>
                <w:kern w:val="0"/>
                <w:sz w:val="24"/>
              </w:rPr>
            </w:pPr>
            <w:r>
              <w:rPr>
                <w:rFonts w:hint="eastAsia"/>
                <w:spacing w:val="-6"/>
                <w:position w:val="-12"/>
                <w:szCs w:val="21"/>
              </w:rPr>
              <w:object>
                <v:shape id="_x0000_i1025" o:spt="75" type="#_x0000_t75" style="height:19.5pt;width:166.5pt;" o:ole="t" filled="f" o:preferrelative="t" stroked="f" coordsize="21600,21600">
                  <v:path/>
                  <v:fill on="f" focussize="0,0"/>
                  <v:stroke on="f" joinstyle="miter"/>
                  <v:imagedata r:id="rId19" embosscolor="#FFFFFF" o:title=""/>
                  <o:lock v:ext="edit" aspectratio="t"/>
                  <w10:wrap type="none"/>
                  <w10:anchorlock/>
                </v:shape>
                <o:OLEObject Type="Embed" ProgID="Equation.KSEE3" ShapeID="_x0000_i1025" DrawAspect="Content" ObjectID="_1468075725" r:id="rId18">
                  <o:LockedField>false</o:LockedField>
                </o:OLEObject>
              </w:object>
            </w:r>
          </w:p>
          <w:p w14:paraId="0396AB58">
            <w:pPr>
              <w:spacing w:line="360" w:lineRule="auto"/>
              <w:ind w:firstLine="480" w:firstLineChars="200"/>
              <w:rPr>
                <w:kern w:val="0"/>
                <w:sz w:val="24"/>
              </w:rPr>
            </w:pPr>
            <w:r>
              <w:rPr>
                <w:rFonts w:hint="eastAsia"/>
                <w:kern w:val="0"/>
                <w:sz w:val="24"/>
              </w:rPr>
              <w:t>式中：</w:t>
            </w:r>
          </w:p>
          <w:p w14:paraId="4638036B">
            <w:pPr>
              <w:spacing w:line="360" w:lineRule="auto"/>
              <w:ind w:firstLine="480" w:firstLineChars="200"/>
              <w:rPr>
                <w:kern w:val="0"/>
                <w:sz w:val="24"/>
              </w:rPr>
            </w:pPr>
            <w:r>
              <w:rPr>
                <w:rFonts w:hint="eastAsia"/>
                <w:kern w:val="0"/>
                <w:sz w:val="24"/>
              </w:rPr>
              <w:t>E</w:t>
            </w:r>
            <w:r>
              <w:rPr>
                <w:rFonts w:hint="eastAsia"/>
                <w:kern w:val="0"/>
                <w:sz w:val="24"/>
                <w:vertAlign w:val="subscript"/>
              </w:rPr>
              <w:t>Pi</w:t>
            </w:r>
            <w:r>
              <w:rPr>
                <w:rFonts w:hint="eastAsia"/>
                <w:kern w:val="0"/>
                <w:sz w:val="24"/>
              </w:rPr>
              <w:t>—铺装道路的扬尘中TSP排放系数，g/km（机动车行驶1千米产生的道路扬尘质量）；</w:t>
            </w:r>
          </w:p>
          <w:p w14:paraId="6DE7FF67">
            <w:pPr>
              <w:spacing w:line="360" w:lineRule="auto"/>
              <w:ind w:firstLine="480" w:firstLineChars="200"/>
              <w:rPr>
                <w:kern w:val="0"/>
                <w:sz w:val="24"/>
              </w:rPr>
            </w:pPr>
            <w:r>
              <w:rPr>
                <w:rFonts w:hint="eastAsia"/>
                <w:kern w:val="0"/>
                <w:sz w:val="24"/>
              </w:rPr>
              <w:t>k</w:t>
            </w:r>
            <w:r>
              <w:rPr>
                <w:rFonts w:hint="eastAsia"/>
                <w:kern w:val="0"/>
                <w:sz w:val="24"/>
                <w:vertAlign w:val="subscript"/>
              </w:rPr>
              <w:t>i</w:t>
            </w:r>
            <w:r>
              <w:rPr>
                <w:rFonts w:hint="eastAsia"/>
                <w:kern w:val="0"/>
                <w:sz w:val="24"/>
              </w:rPr>
              <w:t>—产生的扬尘中TSP的粒度乘数，参照《扬尘源颗粒物排放清单编制技术指南（试行）》表5，取3.23。</w:t>
            </w:r>
          </w:p>
          <w:p w14:paraId="783E02F5">
            <w:pPr>
              <w:spacing w:line="360" w:lineRule="auto"/>
              <w:ind w:firstLine="480" w:firstLineChars="200"/>
              <w:rPr>
                <w:kern w:val="0"/>
                <w:sz w:val="24"/>
              </w:rPr>
            </w:pPr>
            <w:r>
              <w:rPr>
                <w:rFonts w:hint="eastAsia"/>
                <w:kern w:val="0"/>
                <w:sz w:val="24"/>
              </w:rPr>
              <w:t>sL—道路积尘负荷，g/m</w:t>
            </w:r>
            <w:r>
              <w:rPr>
                <w:rFonts w:hint="eastAsia"/>
                <w:kern w:val="0"/>
                <w:sz w:val="24"/>
                <w:vertAlign w:val="superscript"/>
              </w:rPr>
              <w:t>2</w:t>
            </w:r>
            <w:r>
              <w:rPr>
                <w:rFonts w:hint="eastAsia"/>
                <w:kern w:val="0"/>
                <w:sz w:val="24"/>
              </w:rPr>
              <w:t>；取1g/m</w:t>
            </w:r>
            <w:r>
              <w:rPr>
                <w:rFonts w:hint="eastAsia"/>
                <w:kern w:val="0"/>
                <w:sz w:val="24"/>
                <w:vertAlign w:val="superscript"/>
              </w:rPr>
              <w:t>2</w:t>
            </w:r>
            <w:r>
              <w:rPr>
                <w:rFonts w:hint="eastAsia"/>
                <w:kern w:val="0"/>
                <w:sz w:val="24"/>
              </w:rPr>
              <w:t>。</w:t>
            </w:r>
          </w:p>
          <w:p w14:paraId="7E046A9C">
            <w:pPr>
              <w:spacing w:line="360" w:lineRule="auto"/>
              <w:ind w:firstLine="480" w:firstLineChars="200"/>
              <w:rPr>
                <w:kern w:val="0"/>
                <w:sz w:val="24"/>
              </w:rPr>
            </w:pPr>
            <w:r>
              <w:rPr>
                <w:rFonts w:hint="eastAsia"/>
                <w:kern w:val="0"/>
                <w:sz w:val="24"/>
              </w:rPr>
              <w:t>W—平均车重，t；取20t。</w:t>
            </w:r>
          </w:p>
          <w:p w14:paraId="0A7ADB63">
            <w:pPr>
              <w:spacing w:line="360" w:lineRule="auto"/>
              <w:ind w:firstLine="480" w:firstLineChars="200"/>
              <w:rPr>
                <w:kern w:val="0"/>
                <w:sz w:val="24"/>
              </w:rPr>
            </w:pPr>
            <w:r>
              <w:rPr>
                <w:kern w:val="0"/>
                <w:sz w:val="24"/>
              </w:rPr>
              <w:t>η</w:t>
            </w:r>
            <w:r>
              <w:rPr>
                <w:rFonts w:hint="eastAsia"/>
                <w:kern w:val="0"/>
                <w:sz w:val="24"/>
              </w:rPr>
              <w:t>—污染控制技术对扬尘的去除效率，%；参照《扬尘源颗粒物排放清单编制技术指南（试行）》表6，若洒水2次/天，TSP控制效率66%。</w:t>
            </w:r>
          </w:p>
          <w:p w14:paraId="263F0A0E">
            <w:pPr>
              <w:spacing w:line="360" w:lineRule="auto"/>
              <w:ind w:firstLine="480" w:firstLineChars="200"/>
              <w:rPr>
                <w:kern w:val="0"/>
                <w:sz w:val="24"/>
              </w:rPr>
            </w:pPr>
            <w:r>
              <w:rPr>
                <w:rFonts w:hint="eastAsia"/>
                <w:kern w:val="0"/>
                <w:sz w:val="24"/>
              </w:rPr>
              <w:t>经计算，本项目道路扬尘源中TSP的平均排放系数23.32g/（km·辆），本项目厂区汽车平均运输距离大约0</w:t>
            </w:r>
            <w:r>
              <w:rPr>
                <w:kern w:val="0"/>
                <w:sz w:val="24"/>
              </w:rPr>
              <w:t>.1</w:t>
            </w:r>
            <w:r>
              <w:rPr>
                <w:rFonts w:hint="eastAsia"/>
                <w:kern w:val="0"/>
                <w:sz w:val="24"/>
              </w:rPr>
              <w:t>km，原料和产品总的运输量大约为40万t/a，车辆载重为20t/辆，车流量为20000辆/a。计算出本项目运输起尘量为0.05t/a。</w:t>
            </w:r>
          </w:p>
          <w:p w14:paraId="5B71918D">
            <w:pPr>
              <w:adjustRightInd w:val="0"/>
              <w:snapToGrid w:val="0"/>
              <w:spacing w:line="360" w:lineRule="auto"/>
              <w:ind w:firstLine="482" w:firstLineChars="200"/>
              <w:rPr>
                <w:b/>
                <w:bCs/>
                <w:kern w:val="0"/>
                <w:sz w:val="24"/>
              </w:rPr>
            </w:pPr>
            <w:r>
              <w:rPr>
                <w:rFonts w:hint="eastAsia"/>
                <w:b/>
                <w:bCs/>
                <w:kern w:val="0"/>
                <w:sz w:val="24"/>
              </w:rPr>
              <w:t>（2）原料堆放及装卸粉尘</w:t>
            </w:r>
          </w:p>
          <w:p w14:paraId="2EE9BF97">
            <w:pPr>
              <w:adjustRightInd w:val="0"/>
              <w:snapToGrid w:val="0"/>
              <w:spacing w:line="360" w:lineRule="auto"/>
              <w:ind w:firstLine="480" w:firstLineChars="200"/>
              <w:rPr>
                <w:sz w:val="24"/>
              </w:rPr>
            </w:pPr>
            <w:r>
              <w:rPr>
                <w:sz w:val="24"/>
              </w:rPr>
              <w:t>本项目</w:t>
            </w:r>
            <w:r>
              <w:rPr>
                <w:rFonts w:hint="eastAsia"/>
                <w:sz w:val="24"/>
              </w:rPr>
              <w:t>砂子</w:t>
            </w:r>
            <w:r>
              <w:rPr>
                <w:sz w:val="24"/>
              </w:rPr>
              <w:t>运进厂区后，在卸料、堆存、装载过程中会产生粉尘。</w:t>
            </w:r>
          </w:p>
          <w:p w14:paraId="5867D6E0">
            <w:pPr>
              <w:spacing w:line="360" w:lineRule="auto"/>
              <w:ind w:firstLine="480"/>
              <w:rPr>
                <w:sz w:val="24"/>
              </w:rPr>
            </w:pPr>
            <w:r>
              <w:rPr>
                <w:sz w:val="24"/>
              </w:rPr>
              <w:t>根据中华人民共和国生态环境部2021年6月11日发布的关于《排放源统计调查产排污核算方法和系数手册》的公告手册中《工业源产排污核算方法和系数手册》附表2《工业源固体物料堆场颗粒物核算系数手册》，</w:t>
            </w:r>
            <w:r>
              <w:rPr>
                <w:rFonts w:hint="eastAsia"/>
                <w:sz w:val="24"/>
              </w:rPr>
              <w:t>工业企业固体物料堆存颗粒物包括装卸扬尘和风蚀扬尘，</w:t>
            </w:r>
            <w:r>
              <w:rPr>
                <w:sz w:val="24"/>
              </w:rPr>
              <w:t>计算公式如下：</w:t>
            </w:r>
          </w:p>
          <w:p w14:paraId="22AB331B">
            <w:pPr>
              <w:spacing w:line="360" w:lineRule="auto"/>
              <w:ind w:firstLine="1313"/>
              <w:rPr>
                <w:sz w:val="24"/>
              </w:rPr>
            </w:pPr>
            <m:oMathPara>
              <m:oMath>
                <m:r>
                  <m:rPr/>
                  <w:rPr>
                    <w:rFonts w:hint="eastAsia" w:ascii="Cambria Math" w:hAnsi="Cambria Math"/>
                  </w:rPr>
                  <m:t>P=Z</m:t>
                </m:r>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y</m:t>
                    </m:r>
                    <m:ctrlPr>
                      <w:rPr>
                        <w:rFonts w:ascii="Cambria Math" w:hAnsi="Cambria Math"/>
                        <w:i/>
                      </w:rPr>
                    </m:ctrlPr>
                  </m:sub>
                </m:sSub>
                <m:r>
                  <m:rPr/>
                  <w:rPr>
                    <w:rFonts w:ascii="Cambria Math" w:hAnsi="Cambria Math"/>
                  </w:rPr>
                  <m:t>+</m:t>
                </m:r>
                <m:r>
                  <m:rPr/>
                  <w:rPr>
                    <w:rFonts w:hint="eastAsia" w:ascii="Cambria Math" w:hAnsi="Cambria Math"/>
                  </w:rPr>
                  <m:t>F</m:t>
                </m:r>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y</m:t>
                    </m:r>
                    <m:ctrlPr>
                      <w:rPr>
                        <w:rFonts w:ascii="Cambria Math" w:hAnsi="Cambria Math"/>
                        <w:i/>
                      </w:rPr>
                    </m:ctrlPr>
                  </m:sub>
                </m:sSub>
                <m:r>
                  <m:rPr/>
                  <w:rPr>
                    <w:rFonts w:hint="eastAsia" w:ascii="Cambria Math" w:hAnsi="Cambria Math"/>
                  </w:rPr>
                  <m:t>=</m:t>
                </m:r>
                <m:d>
                  <m:dPr>
                    <m:begChr m:val="{"/>
                    <m:endChr m:val="}"/>
                    <m:ctrlPr>
                      <w:rPr>
                        <w:rFonts w:ascii="Cambria Math" w:hAnsi="Cambria Math"/>
                        <w:i/>
                      </w:rPr>
                    </m:ctrlPr>
                  </m:dPr>
                  <m:e>
                    <m:sSub>
                      <m:sSubPr>
                        <m:ctrlPr>
                          <w:rPr>
                            <w:rFonts w:ascii="Cambria Math" w:hAnsi="Cambria Math"/>
                            <w:i/>
                          </w:rPr>
                        </m:ctrlPr>
                      </m:sSubPr>
                      <m:e>
                        <m:r>
                          <m:rPr/>
                          <w:rPr>
                            <w:rFonts w:hint="eastAsia" w:ascii="Cambria Math" w:hAnsi="Cambria Math"/>
                          </w:rPr>
                          <m:t>N</m:t>
                        </m:r>
                        <m:ctrlPr>
                          <w:rPr>
                            <w:rFonts w:ascii="Cambria Math" w:hAnsi="Cambria Math"/>
                            <w:i/>
                          </w:rPr>
                        </m:ctrlPr>
                      </m:e>
                      <m:sub>
                        <m:r>
                          <m:rPr/>
                          <w:rPr>
                            <w:rFonts w:hint="eastAsia" w:ascii="Cambria Math" w:hAnsi="Cambria Math"/>
                          </w:rPr>
                          <m:t>c</m:t>
                        </m:r>
                        <m:ctrlPr>
                          <w:rPr>
                            <w:rFonts w:ascii="Cambria Math" w:hAnsi="Cambria Math"/>
                            <w:i/>
                          </w:rPr>
                        </m:ctrlPr>
                      </m:sub>
                    </m:sSub>
                    <m:r>
                      <m:rPr/>
                      <w:rPr>
                        <w:rFonts w:ascii="Cambria Math" w:hAnsi="Cambria Math"/>
                      </w:rPr>
                      <m:t>×</m:t>
                    </m:r>
                    <m:r>
                      <m:rPr/>
                      <w:rPr>
                        <w:rFonts w:hint="eastAsia" w:ascii="Cambria Math" w:hAnsi="Cambria Math"/>
                      </w:rPr>
                      <m:t>D</m:t>
                    </m:r>
                    <m:r>
                      <m:rPr/>
                      <w:rPr>
                        <w:rFonts w:ascii="Cambria Math" w:hAnsi="Cambria Math"/>
                      </w:rPr>
                      <m:t>×</m:t>
                    </m:r>
                    <m:d>
                      <m:dPr>
                        <m:ctrlPr>
                          <w:rPr>
                            <w:rFonts w:ascii="Cambria Math" w:hAnsi="Cambria Math"/>
                            <w:i/>
                          </w:rPr>
                        </m:ctrlPr>
                      </m:dPr>
                      <m:e>
                        <m:f>
                          <m:fPr>
                            <m:type m:val="lin"/>
                            <m:ctrlPr>
                              <w:rPr>
                                <w:rFonts w:ascii="Cambria Math" w:hAnsi="Cambria Math"/>
                                <w:i/>
                              </w:rPr>
                            </m:ctrlPr>
                          </m:fPr>
                          <m:num>
                            <m:r>
                              <m:rPr/>
                              <w:rPr>
                                <w:rFonts w:hint="eastAsia" w:ascii="Cambria Math" w:hAnsi="Cambria Math"/>
                              </w:rPr>
                              <m:t>a</m:t>
                            </m:r>
                            <m:ctrlPr>
                              <w:rPr>
                                <w:rFonts w:ascii="Cambria Math" w:hAnsi="Cambria Math"/>
                                <w:i/>
                              </w:rPr>
                            </m:ctrlPr>
                          </m:num>
                          <m:den>
                            <m:r>
                              <m:rPr/>
                              <w:rPr>
                                <w:rFonts w:hint="eastAsia" w:ascii="Cambria Math" w:hAnsi="Cambria Math"/>
                              </w:rPr>
                              <m:t>b</m:t>
                            </m:r>
                            <m:ctrlPr>
                              <w:rPr>
                                <w:rFonts w:ascii="Cambria Math" w:hAnsi="Cambria Math"/>
                                <w:i/>
                              </w:rPr>
                            </m:ctrlPr>
                          </m:den>
                        </m:f>
                        <m:ctrlPr>
                          <w:rPr>
                            <w:rFonts w:ascii="Cambria Math" w:hAnsi="Cambria Math"/>
                            <w:i/>
                          </w:rPr>
                        </m:ctrlPr>
                      </m:e>
                    </m:d>
                    <m:r>
                      <m:rPr/>
                      <w:rPr>
                        <w:rFonts w:ascii="Cambria Math" w:hAnsi="Cambria Math"/>
                      </w:rPr>
                      <m:t>+2×</m:t>
                    </m:r>
                    <m:sSub>
                      <m:sSubPr>
                        <m:ctrlPr>
                          <w:rPr>
                            <w:rFonts w:ascii="Cambria Math" w:hAnsi="Cambria Math"/>
                            <w:i/>
                          </w:rPr>
                        </m:ctrlPr>
                      </m:sSubPr>
                      <m:e>
                        <m:r>
                          <m:rPr/>
                          <w:rPr>
                            <w:rFonts w:hint="eastAsia" w:ascii="Cambria Math" w:hAnsi="Cambria Math"/>
                          </w:rPr>
                          <m:t>E</m:t>
                        </m:r>
                        <m:ctrlPr>
                          <w:rPr>
                            <w:rFonts w:ascii="Cambria Math" w:hAnsi="Cambria Math"/>
                            <w:i/>
                          </w:rPr>
                        </m:ctrlPr>
                      </m:e>
                      <m:sub>
                        <m:r>
                          <m:rPr/>
                          <w:rPr>
                            <w:rFonts w:hint="eastAsia" w:ascii="Cambria Math" w:hAnsi="Cambria Math"/>
                          </w:rPr>
                          <m:t>f</m:t>
                        </m:r>
                        <m:ctrlPr>
                          <w:rPr>
                            <w:rFonts w:ascii="Cambria Math" w:hAnsi="Cambria Math"/>
                            <w:i/>
                          </w:rPr>
                        </m:ctrlPr>
                      </m:sub>
                    </m:sSub>
                    <m:r>
                      <m:rPr/>
                      <w:rPr>
                        <w:rFonts w:ascii="Cambria Math" w:hAnsi="Cambria Math"/>
                      </w:rPr>
                      <m:t>×</m:t>
                    </m:r>
                    <m:r>
                      <m:rPr/>
                      <w:rPr>
                        <w:rFonts w:hint="eastAsia" w:ascii="Cambria Math" w:hAnsi="Cambria Math"/>
                      </w:rPr>
                      <m:t>S</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−3</m:t>
                    </m:r>
                    <m:ctrlPr>
                      <w:rPr>
                        <w:rFonts w:ascii="Cambria Math" w:hAnsi="Cambria Math"/>
                        <w:i/>
                      </w:rPr>
                    </m:ctrlPr>
                  </m:sup>
                </m:sSup>
              </m:oMath>
            </m:oMathPara>
          </w:p>
          <w:p w14:paraId="1CD46395">
            <w:pPr>
              <w:spacing w:line="360" w:lineRule="auto"/>
              <w:ind w:firstLine="480"/>
              <w:rPr>
                <w:sz w:val="24"/>
              </w:rPr>
            </w:pPr>
            <w:r>
              <w:rPr>
                <w:sz w:val="24"/>
              </w:rPr>
              <w:t>式中：</w:t>
            </w:r>
          </w:p>
          <w:p w14:paraId="1AFD1DA1">
            <w:pPr>
              <w:spacing w:line="360" w:lineRule="auto"/>
              <w:ind w:firstLine="420" w:firstLineChars="200"/>
              <w:rPr>
                <w:sz w:val="24"/>
              </w:rPr>
            </w:pPr>
            <m:oMath>
              <m:r>
                <m:rPr/>
                <w:rPr>
                  <w:rFonts w:hint="eastAsia" w:ascii="Cambria Math" w:hAnsi="Cambria Math"/>
                </w:rPr>
                <m:t>P</m:t>
              </m:r>
            </m:oMath>
            <w:r>
              <w:rPr>
                <w:sz w:val="24"/>
              </w:rPr>
              <w:t>——颗粒物产生量，t；</w:t>
            </w:r>
          </w:p>
          <w:p w14:paraId="7B665C70">
            <w:pPr>
              <w:spacing w:line="360" w:lineRule="auto"/>
              <w:ind w:firstLine="420" w:firstLineChars="200"/>
              <w:rPr>
                <w:sz w:val="24"/>
              </w:rPr>
            </w:pPr>
            <m:oMath>
              <m:r>
                <m:rPr/>
                <w:rPr>
                  <w:rFonts w:hint="eastAsia" w:ascii="Cambria Math" w:hAnsi="Cambria Math"/>
                </w:rPr>
                <m:t>Z</m:t>
              </m:r>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y</m:t>
                  </m:r>
                  <m:ctrlPr>
                    <w:rPr>
                      <w:rFonts w:ascii="Cambria Math" w:hAnsi="Cambria Math"/>
                      <w:i/>
                    </w:rPr>
                  </m:ctrlPr>
                </m:sub>
              </m:sSub>
            </m:oMath>
            <w:r>
              <w:rPr>
                <w:sz w:val="24"/>
              </w:rPr>
              <w:t>——装卸扬尘产生量，t；</w:t>
            </w:r>
          </w:p>
          <w:p w14:paraId="20F5224F">
            <w:pPr>
              <w:spacing w:line="360" w:lineRule="auto"/>
              <w:ind w:firstLine="420" w:firstLineChars="200"/>
              <w:rPr>
                <w:sz w:val="24"/>
              </w:rPr>
            </w:pPr>
            <m:oMath>
              <m:r>
                <m:rPr/>
                <w:rPr>
                  <w:rFonts w:hint="eastAsia" w:ascii="Cambria Math" w:hAnsi="Cambria Math"/>
                </w:rPr>
                <m:t>F</m:t>
              </m:r>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y</m:t>
                  </m:r>
                  <m:ctrlPr>
                    <w:rPr>
                      <w:rFonts w:ascii="Cambria Math" w:hAnsi="Cambria Math"/>
                      <w:i/>
                    </w:rPr>
                  </m:ctrlPr>
                </m:sub>
              </m:sSub>
            </m:oMath>
            <w:r>
              <w:rPr>
                <w:sz w:val="24"/>
              </w:rPr>
              <w:t>——风蚀扬尘产生量，t；</w:t>
            </w:r>
          </w:p>
          <w:p w14:paraId="773200A5">
            <w:pPr>
              <w:spacing w:line="360" w:lineRule="auto"/>
              <w:ind w:firstLine="420" w:firstLineChars="200"/>
              <w:rPr>
                <w:sz w:val="24"/>
              </w:rPr>
            </w:pPr>
            <m:oMath>
              <m:sSub>
                <m:sSubPr>
                  <m:ctrlPr>
                    <w:rPr>
                      <w:rFonts w:ascii="Cambria Math" w:hAnsi="Cambria Math"/>
                      <w:i/>
                    </w:rPr>
                  </m:ctrlPr>
                </m:sSubPr>
                <m:e>
                  <m:r>
                    <m:rPr/>
                    <w:rPr>
                      <w:rFonts w:hint="eastAsia" w:ascii="Cambria Math" w:hAnsi="Cambria Math"/>
                    </w:rPr>
                    <m:t>N</m:t>
                  </m:r>
                  <m:ctrlPr>
                    <w:rPr>
                      <w:rFonts w:ascii="Cambria Math" w:hAnsi="Cambria Math"/>
                      <w:i/>
                    </w:rPr>
                  </m:ctrlPr>
                </m:e>
                <m:sub>
                  <m:r>
                    <m:rPr/>
                    <w:rPr>
                      <w:rFonts w:hint="eastAsia" w:ascii="Cambria Math" w:hAnsi="Cambria Math"/>
                    </w:rPr>
                    <m:t>c</m:t>
                  </m:r>
                  <m:ctrlPr>
                    <w:rPr>
                      <w:rFonts w:ascii="Cambria Math" w:hAnsi="Cambria Math"/>
                      <w:i/>
                    </w:rPr>
                  </m:ctrlPr>
                </m:sub>
              </m:sSub>
            </m:oMath>
            <w:r>
              <w:rPr>
                <w:sz w:val="24"/>
              </w:rPr>
              <w:t>——年物料运载车次，车；</w:t>
            </w:r>
          </w:p>
          <w:p w14:paraId="544FB2E0">
            <w:pPr>
              <w:spacing w:line="360" w:lineRule="auto"/>
              <w:ind w:firstLine="420" w:firstLineChars="200"/>
              <w:rPr>
                <w:sz w:val="24"/>
              </w:rPr>
            </w:pPr>
            <m:oMath>
              <m:r>
                <m:rPr/>
                <w:rPr>
                  <w:rFonts w:hint="eastAsia" w:ascii="Cambria Math" w:hAnsi="Cambria Math"/>
                </w:rPr>
                <m:t>D</m:t>
              </m:r>
            </m:oMath>
            <w:r>
              <w:rPr>
                <w:sz w:val="24"/>
              </w:rPr>
              <w:t>——单车平均运载量，t/车；</w:t>
            </w:r>
          </w:p>
          <w:p w14:paraId="108E1BD0">
            <w:pPr>
              <w:spacing w:line="360" w:lineRule="auto"/>
              <w:ind w:firstLine="420" w:firstLineChars="200"/>
              <w:rPr>
                <w:sz w:val="24"/>
              </w:rPr>
            </w:pPr>
            <m:oMath>
              <m:d>
                <m:dPr>
                  <m:ctrlPr>
                    <w:rPr>
                      <w:rFonts w:ascii="Cambria Math" w:hAnsi="Cambria Math"/>
                      <w:i/>
                    </w:rPr>
                  </m:ctrlPr>
                </m:dPr>
                <m:e>
                  <m:f>
                    <m:fPr>
                      <m:type m:val="lin"/>
                      <m:ctrlPr>
                        <w:rPr>
                          <w:rFonts w:ascii="Cambria Math" w:hAnsi="Cambria Math"/>
                          <w:i/>
                        </w:rPr>
                      </m:ctrlPr>
                    </m:fPr>
                    <m:num>
                      <m:r>
                        <m:rPr/>
                        <w:rPr>
                          <w:rFonts w:hint="eastAsia" w:ascii="Cambria Math" w:hAnsi="Cambria Math"/>
                        </w:rPr>
                        <m:t>a</m:t>
                      </m:r>
                      <m:ctrlPr>
                        <w:rPr>
                          <w:rFonts w:ascii="Cambria Math" w:hAnsi="Cambria Math"/>
                          <w:i/>
                        </w:rPr>
                      </m:ctrlPr>
                    </m:num>
                    <m:den>
                      <m:r>
                        <m:rPr/>
                        <w:rPr>
                          <w:rFonts w:hint="eastAsia" w:ascii="Cambria Math" w:hAnsi="Cambria Math"/>
                        </w:rPr>
                        <m:t>b</m:t>
                      </m:r>
                      <m:ctrlPr>
                        <w:rPr>
                          <w:rFonts w:ascii="Cambria Math" w:hAnsi="Cambria Math"/>
                          <w:i/>
                        </w:rPr>
                      </m:ctrlPr>
                    </m:den>
                  </m:f>
                  <m:ctrlPr>
                    <w:rPr>
                      <w:rFonts w:ascii="Cambria Math" w:hAnsi="Cambria Math"/>
                      <w:i/>
                    </w:rPr>
                  </m:ctrlPr>
                </m:e>
              </m:d>
            </m:oMath>
            <w:r>
              <w:rPr>
                <w:sz w:val="24"/>
              </w:rPr>
              <w:t>——装卸扬尘概化系数，kg/t，</w:t>
            </w:r>
            <m:oMath>
              <m:r>
                <m:rPr/>
                <w:rPr>
                  <w:rFonts w:hint="eastAsia" w:ascii="Cambria Math" w:hAnsi="Cambria Math"/>
                </w:rPr>
                <m:t>a</m:t>
              </m:r>
            </m:oMath>
            <w:r>
              <w:rPr>
                <w:sz w:val="24"/>
              </w:rPr>
              <w:t>指风速概化系数，b指含水率概化系数，根据附录及本仓储存物料性质，</w:t>
            </w:r>
            <m:oMath>
              <m:r>
                <m:rPr/>
                <w:rPr>
                  <w:rFonts w:hint="eastAsia" w:ascii="Cambria Math" w:hAnsi="Cambria Math"/>
                </w:rPr>
                <m:t>a</m:t>
              </m:r>
            </m:oMath>
            <w:r>
              <w:rPr>
                <w:sz w:val="24"/>
              </w:rPr>
              <w:t>取0.001</w:t>
            </w:r>
            <w:r>
              <w:rPr>
                <w:rFonts w:hint="eastAsia"/>
                <w:sz w:val="24"/>
              </w:rPr>
              <w:t>0</w:t>
            </w:r>
            <w:r>
              <w:rPr>
                <w:sz w:val="24"/>
              </w:rPr>
              <w:t>，b取0.00</w:t>
            </w:r>
            <w:r>
              <w:rPr>
                <w:rFonts w:hint="eastAsia"/>
                <w:sz w:val="24"/>
              </w:rPr>
              <w:t>84</w:t>
            </w:r>
            <w:r>
              <w:rPr>
                <w:sz w:val="24"/>
              </w:rPr>
              <w:t>；</w:t>
            </w:r>
          </w:p>
          <w:p w14:paraId="36CDA546">
            <w:pPr>
              <w:spacing w:line="360" w:lineRule="auto"/>
              <w:ind w:firstLine="420" w:firstLineChars="200"/>
              <w:rPr>
                <w:sz w:val="24"/>
              </w:rPr>
            </w:pPr>
            <m:oMath>
              <m:sSub>
                <m:sSubPr>
                  <m:ctrlPr>
                    <w:rPr>
                      <w:rFonts w:ascii="Cambria Math" w:hAnsi="Cambria Math"/>
                      <w:i/>
                    </w:rPr>
                  </m:ctrlPr>
                </m:sSubPr>
                <m:e>
                  <m:r>
                    <m:rPr/>
                    <w:rPr>
                      <w:rFonts w:hint="eastAsia" w:ascii="Cambria Math" w:hAnsi="Cambria Math"/>
                    </w:rPr>
                    <m:t>E</m:t>
                  </m:r>
                  <m:ctrlPr>
                    <w:rPr>
                      <w:rFonts w:ascii="Cambria Math" w:hAnsi="Cambria Math"/>
                      <w:i/>
                    </w:rPr>
                  </m:ctrlPr>
                </m:e>
                <m:sub>
                  <m:r>
                    <m:rPr/>
                    <w:rPr>
                      <w:rFonts w:hint="eastAsia" w:ascii="Cambria Math" w:hAnsi="Cambria Math"/>
                    </w:rPr>
                    <m:t>f</m:t>
                  </m:r>
                  <m:ctrlPr>
                    <w:rPr>
                      <w:rFonts w:ascii="Cambria Math" w:hAnsi="Cambria Math"/>
                      <w:i/>
                    </w:rPr>
                  </m:ctrlPr>
                </m:sub>
              </m:sSub>
            </m:oMath>
            <w:r>
              <w:rPr>
                <w:sz w:val="24"/>
              </w:rPr>
              <w:t>——堆场风蚀扬尘概化系数，kg/m</w:t>
            </w:r>
            <w:r>
              <w:rPr>
                <w:sz w:val="24"/>
                <w:vertAlign w:val="superscript"/>
              </w:rPr>
              <w:t>2</w:t>
            </w:r>
            <w:r>
              <w:rPr>
                <w:sz w:val="24"/>
              </w:rPr>
              <w:t>，选取</w:t>
            </w:r>
            <w:r>
              <w:rPr>
                <w:rFonts w:hint="eastAsia"/>
                <w:sz w:val="24"/>
              </w:rPr>
              <w:t>0</w:t>
            </w:r>
            <w:r>
              <w:rPr>
                <w:sz w:val="24"/>
              </w:rPr>
              <w:t>；</w:t>
            </w:r>
          </w:p>
          <w:p w14:paraId="0A4A3670">
            <w:pPr>
              <w:adjustRightInd w:val="0"/>
              <w:snapToGrid w:val="0"/>
              <w:spacing w:line="360" w:lineRule="auto"/>
              <w:ind w:firstLine="420" w:firstLineChars="200"/>
              <w:rPr>
                <w:sz w:val="24"/>
              </w:rPr>
            </w:pPr>
            <m:oMath>
              <m:r>
                <m:rPr/>
                <w:rPr>
                  <w:rFonts w:hint="eastAsia" w:ascii="Cambria Math" w:hAnsi="Cambria Math"/>
                </w:rPr>
                <m:t>S</m:t>
              </m:r>
            </m:oMath>
            <w:r>
              <w:rPr>
                <w:sz w:val="24"/>
              </w:rPr>
              <w:t>——堆场占地面积，m</w:t>
            </w:r>
            <w:r>
              <w:rPr>
                <w:sz w:val="24"/>
                <w:vertAlign w:val="superscript"/>
              </w:rPr>
              <w:t>2</w:t>
            </w:r>
            <w:r>
              <w:rPr>
                <w:sz w:val="24"/>
              </w:rPr>
              <w:t>。</w:t>
            </w:r>
          </w:p>
          <w:p w14:paraId="5C172F84">
            <w:pPr>
              <w:adjustRightInd w:val="0"/>
              <w:snapToGrid w:val="0"/>
              <w:spacing w:line="360" w:lineRule="auto"/>
              <w:ind w:firstLine="480" w:firstLineChars="200"/>
              <w:rPr>
                <w:sz w:val="24"/>
              </w:rPr>
            </w:pPr>
            <w:r>
              <w:rPr>
                <w:rFonts w:hint="eastAsia"/>
                <w:sz w:val="24"/>
              </w:rPr>
              <w:t>本项目砂子原料堆存数量为</w:t>
            </w:r>
            <w:r>
              <w:rPr>
                <w:sz w:val="24"/>
              </w:rPr>
              <w:t>15.</w:t>
            </w:r>
            <w:r>
              <w:rPr>
                <w:rFonts w:hint="eastAsia"/>
                <w:sz w:val="24"/>
              </w:rPr>
              <w:t>7824万吨/a，单车平均运载量2</w:t>
            </w:r>
            <w:r>
              <w:rPr>
                <w:sz w:val="24"/>
              </w:rPr>
              <w:t>0</w:t>
            </w:r>
            <w:r>
              <w:rPr>
                <w:rFonts w:hint="eastAsia"/>
                <w:sz w:val="24"/>
              </w:rPr>
              <w:t>t，年物料运载</w:t>
            </w:r>
            <w:r>
              <w:rPr>
                <w:sz w:val="24"/>
              </w:rPr>
              <w:t>7888</w:t>
            </w:r>
            <w:r>
              <w:rPr>
                <w:rFonts w:hint="eastAsia"/>
                <w:sz w:val="24"/>
              </w:rPr>
              <w:t>车次，物料堆存区域面积大约75</w:t>
            </w:r>
            <w:r>
              <w:rPr>
                <w:sz w:val="24"/>
              </w:rPr>
              <w:t>0</w:t>
            </w:r>
            <w:r>
              <w:rPr>
                <w:rFonts w:hint="eastAsia"/>
                <w:sz w:val="24"/>
              </w:rPr>
              <w:t>m</w:t>
            </w:r>
            <w:r>
              <w:rPr>
                <w:sz w:val="24"/>
                <w:vertAlign w:val="superscript"/>
              </w:rPr>
              <w:t>2</w:t>
            </w:r>
            <w:r>
              <w:rPr>
                <w:rFonts w:hint="eastAsia"/>
                <w:sz w:val="24"/>
              </w:rPr>
              <w:t>，经计算颗粒物产生量为18.78t</w:t>
            </w:r>
            <w:r>
              <w:rPr>
                <w:sz w:val="24"/>
              </w:rPr>
              <w:t>/</w:t>
            </w:r>
            <w:r>
              <w:rPr>
                <w:rFonts w:hint="eastAsia"/>
                <w:sz w:val="24"/>
              </w:rPr>
              <w:t>a。</w:t>
            </w:r>
          </w:p>
          <w:p w14:paraId="0086CA13">
            <w:pPr>
              <w:adjustRightInd w:val="0"/>
              <w:snapToGrid w:val="0"/>
              <w:spacing w:line="360" w:lineRule="auto"/>
              <w:ind w:firstLine="480" w:firstLineChars="200"/>
              <w:rPr>
                <w:sz w:val="24"/>
              </w:rPr>
            </w:pPr>
            <w:r>
              <w:rPr>
                <w:rFonts w:hint="eastAsia"/>
                <w:sz w:val="24"/>
              </w:rPr>
              <w:t>本项目原料库采用全封闭结构，因生产工艺需要（严格控制石料含水率）原料库内不能采取喷淋洒水降尘措施，仅围挡的粉尘控制措施的效率为60%，密闭式堆场的控制效率取99%，因此计算出砂子在卸料、堆存、装载过程中排放的粉尘总量为：0.075t/a。</w:t>
            </w:r>
          </w:p>
          <w:p w14:paraId="4E02FCB0">
            <w:pPr>
              <w:adjustRightInd w:val="0"/>
              <w:snapToGrid w:val="0"/>
              <w:spacing w:line="360" w:lineRule="auto"/>
              <w:ind w:firstLine="482" w:firstLineChars="200"/>
              <w:rPr>
                <w:b/>
                <w:bCs/>
                <w:kern w:val="0"/>
                <w:sz w:val="24"/>
              </w:rPr>
            </w:pPr>
            <w:r>
              <w:rPr>
                <w:rFonts w:hint="eastAsia"/>
                <w:b/>
                <w:bCs/>
                <w:kern w:val="0"/>
                <w:sz w:val="24"/>
              </w:rPr>
              <w:t>（3）皮带输送转载粉尘</w:t>
            </w:r>
          </w:p>
          <w:p w14:paraId="63A4D835">
            <w:pPr>
              <w:adjustRightInd w:val="0"/>
              <w:snapToGrid w:val="0"/>
              <w:spacing w:line="360" w:lineRule="auto"/>
              <w:ind w:firstLine="480" w:firstLineChars="200"/>
              <w:rPr>
                <w:rFonts w:ascii="Calibri" w:hAnsi="Calibri"/>
                <w:kern w:val="0"/>
                <w:sz w:val="24"/>
              </w:rPr>
            </w:pPr>
            <w:r>
              <w:rPr>
                <w:kern w:val="0"/>
                <w:sz w:val="24"/>
              </w:rPr>
              <w:t>皮带输送过程会产生扬尘，</w:t>
            </w:r>
            <w:r>
              <w:rPr>
                <w:rFonts w:hint="eastAsia"/>
                <w:kern w:val="0"/>
                <w:sz w:val="24"/>
              </w:rPr>
              <w:t>本项目物料进入上料斗后续的所有输送皮带均采用</w:t>
            </w:r>
            <w:r>
              <w:rPr>
                <w:kern w:val="0"/>
                <w:sz w:val="24"/>
              </w:rPr>
              <w:t>全封闭</w:t>
            </w:r>
            <w:r>
              <w:rPr>
                <w:rFonts w:hint="eastAsia"/>
                <w:kern w:val="0"/>
                <w:sz w:val="24"/>
              </w:rPr>
              <w:t>结构</w:t>
            </w:r>
            <w:r>
              <w:rPr>
                <w:kern w:val="0"/>
                <w:sz w:val="24"/>
              </w:rPr>
              <w:t>，采取封闭措施后，输送过程粉尘排放可忽略不计</w:t>
            </w:r>
            <w:r>
              <w:rPr>
                <w:rFonts w:hint="eastAsia"/>
                <w:kern w:val="0"/>
                <w:sz w:val="24"/>
              </w:rPr>
              <w:t>，大部分物料落料口也实施了全封闭运行，部分无法封闭的跌落口设置局部集尘罩，系统负压运行，产生的含尘气体就近输入系统布袋除尘器统一处置</w:t>
            </w:r>
            <w:r>
              <w:rPr>
                <w:kern w:val="0"/>
                <w:sz w:val="24"/>
              </w:rPr>
              <w:t>。</w:t>
            </w:r>
          </w:p>
          <w:p w14:paraId="4607609D">
            <w:pPr>
              <w:adjustRightInd w:val="0"/>
              <w:snapToGrid w:val="0"/>
              <w:spacing w:line="360" w:lineRule="auto"/>
              <w:ind w:firstLine="482" w:firstLineChars="200"/>
              <w:rPr>
                <w:b/>
                <w:bCs/>
                <w:sz w:val="24"/>
              </w:rPr>
            </w:pPr>
            <w:r>
              <w:rPr>
                <w:rFonts w:hint="eastAsia"/>
                <w:b/>
                <w:bCs/>
                <w:kern w:val="0"/>
                <w:sz w:val="24"/>
              </w:rPr>
              <w:t>（4）</w:t>
            </w:r>
            <w:r>
              <w:rPr>
                <w:rFonts w:hint="eastAsia"/>
                <w:b/>
                <w:bCs/>
                <w:sz w:val="24"/>
              </w:rPr>
              <w:t>砂库出料粉尘</w:t>
            </w:r>
          </w:p>
          <w:p w14:paraId="24124E70">
            <w:pPr>
              <w:widowControl/>
              <w:spacing w:line="360" w:lineRule="auto"/>
              <w:ind w:firstLine="480" w:firstLineChars="200"/>
              <w:rPr>
                <w:color w:val="000000" w:themeColor="text1"/>
                <w:sz w:val="24"/>
                <w14:textFill>
                  <w14:solidFill>
                    <w14:schemeClr w14:val="tx1"/>
                  </w14:solidFill>
                </w14:textFill>
              </w:rPr>
            </w:pPr>
            <w:r>
              <w:rPr>
                <w:rFonts w:hint="eastAsia"/>
                <w:sz w:val="24"/>
              </w:rPr>
              <w:t>本项目通过装载机将砂子上料至地坑式受料斗，通过皮带输送机转运至砂暂存仓，砂子上料时会产生一定量的颗粒物。地坑式受料斗安装在密闭原料库内，入料斗下端和输送皮带连接，原料砂子由装载机送入受料斗后进入生产线。</w:t>
            </w:r>
            <w:r>
              <w:rPr>
                <w:color w:val="000000" w:themeColor="text1"/>
                <w:sz w:val="24"/>
                <w14:textFill>
                  <w14:solidFill>
                    <w14:schemeClr w14:val="tx1"/>
                  </w14:solidFill>
                </w14:textFill>
              </w:rPr>
              <w:t>评价要求</w:t>
            </w:r>
            <w:r>
              <w:rPr>
                <w:rFonts w:hint="eastAsia"/>
                <w:sz w:val="24"/>
              </w:rPr>
              <w:t>在受料斗上方设置三面围挡，在三面围挡上方设置1个集尘罩，废气经收集后引入1套布袋除尘器处理（滤料采用涤纶针刺毡覆膜）</w:t>
            </w:r>
            <w:r>
              <w:rPr>
                <w:rFonts w:hint="eastAsia"/>
                <w:color w:val="000000" w:themeColor="text1"/>
                <w:sz w:val="24"/>
                <w14:textFill>
                  <w14:solidFill>
                    <w14:schemeClr w14:val="tx1"/>
                  </w14:solidFill>
                </w14:textFill>
              </w:rPr>
              <w:t>，废气经处理后由1根排气筒（DA001）统一排放，排气筒高度15m</w:t>
            </w:r>
            <w:r>
              <w:rPr>
                <w:rFonts w:hint="eastAsia"/>
                <w:sz w:val="24"/>
              </w:rPr>
              <w:t>，要求</w:t>
            </w:r>
            <w:r>
              <w:rPr>
                <w:color w:val="000000" w:themeColor="text1"/>
                <w:sz w:val="24"/>
                <w14:textFill>
                  <w14:solidFill>
                    <w14:schemeClr w14:val="tx1"/>
                  </w14:solidFill>
                </w14:textFill>
              </w:rPr>
              <w:t>集</w:t>
            </w:r>
            <w:r>
              <w:rPr>
                <w:rFonts w:hint="eastAsia"/>
                <w:color w:val="000000" w:themeColor="text1"/>
                <w:sz w:val="24"/>
                <w14:textFill>
                  <w14:solidFill>
                    <w14:schemeClr w14:val="tx1"/>
                  </w14:solidFill>
                </w14:textFill>
              </w:rPr>
              <w:t>尘</w:t>
            </w:r>
            <w:r>
              <w:rPr>
                <w:color w:val="000000" w:themeColor="text1"/>
                <w:sz w:val="24"/>
                <w14:textFill>
                  <w14:solidFill>
                    <w14:schemeClr w14:val="tx1"/>
                  </w14:solidFill>
                </w14:textFill>
              </w:rPr>
              <w:t>罩的集气效率不低于95%</w:t>
            </w:r>
            <w:r>
              <w:rPr>
                <w:rFonts w:hint="eastAsia"/>
                <w:color w:val="000000" w:themeColor="text1"/>
                <w:sz w:val="24"/>
                <w14:textFill>
                  <w14:solidFill>
                    <w14:schemeClr w14:val="tx1"/>
                  </w14:solidFill>
                </w14:textFill>
              </w:rPr>
              <w:t>。</w:t>
            </w:r>
          </w:p>
          <w:p w14:paraId="6D57EBA3">
            <w:pPr>
              <w:pStyle w:val="2"/>
              <w:spacing w:before="0" w:after="0" w:line="360" w:lineRule="auto"/>
              <w:ind w:left="0" w:firstLine="480" w:firstLineChars="200"/>
              <w:rPr>
                <w:rFonts w:eastAsia="宋体"/>
                <w:b w:val="0"/>
                <w:bCs w:val="0"/>
                <w:sz w:val="24"/>
                <w:szCs w:val="24"/>
              </w:rPr>
            </w:pPr>
            <w:r>
              <w:rPr>
                <w:rFonts w:hint="eastAsia" w:eastAsia="宋体"/>
                <w:b w:val="0"/>
                <w:bCs w:val="0"/>
                <w:sz w:val="24"/>
                <w:szCs w:val="24"/>
              </w:rPr>
              <w:t>受料斗上方2</w:t>
            </w:r>
            <w:r>
              <w:rPr>
                <w:rFonts w:eastAsia="宋体"/>
                <w:b w:val="0"/>
                <w:bCs w:val="0"/>
                <w:sz w:val="24"/>
                <w:szCs w:val="24"/>
              </w:rPr>
              <w:t>m处安装1个集尘罩</w:t>
            </w:r>
            <w:r>
              <w:rPr>
                <w:rFonts w:eastAsia="宋体"/>
                <w:b w:val="0"/>
                <w:bCs w:val="0"/>
                <w:color w:val="auto"/>
                <w:sz w:val="24"/>
                <w:szCs w:val="24"/>
              </w:rPr>
              <w:t>（2.3m×2.3m）</w:t>
            </w:r>
            <w:r>
              <w:rPr>
                <w:rFonts w:hint="eastAsia" w:eastAsia="宋体"/>
                <w:b w:val="0"/>
                <w:bCs w:val="0"/>
                <w:color w:val="auto"/>
                <w:sz w:val="24"/>
                <w:szCs w:val="24"/>
              </w:rPr>
              <w:t>。</w:t>
            </w:r>
            <w:r>
              <w:rPr>
                <w:rFonts w:eastAsia="宋体"/>
                <w:b w:val="0"/>
                <w:bCs w:val="0"/>
                <w:color w:val="auto"/>
                <w:sz w:val="24"/>
                <w:szCs w:val="24"/>
              </w:rPr>
              <w:t>根</w:t>
            </w:r>
            <w:r>
              <w:rPr>
                <w:rFonts w:eastAsia="宋体"/>
                <w:b w:val="0"/>
                <w:bCs w:val="0"/>
                <w:sz w:val="24"/>
                <w:szCs w:val="24"/>
              </w:rPr>
              <w:t>据《通风除尘系统中吸尘罩的设计与计算》（李志华），集气风量的计算公式为：</w:t>
            </w:r>
          </w:p>
          <w:p w14:paraId="60F7BAF5">
            <w:pPr>
              <w:pStyle w:val="226"/>
              <w:spacing w:line="360" w:lineRule="auto"/>
              <w:ind w:firstLine="480"/>
            </w:pPr>
            <m:oMathPara>
              <m:oMath>
                <m:r>
                  <m:rPr/>
                  <w:rPr>
                    <w:rFonts w:ascii="Cambria Math" w:hAnsi="Cambria Math"/>
                  </w:rPr>
                  <m:t>L</m:t>
                </m:r>
                <m:r>
                  <m:rPr>
                    <m:sty m:val="p"/>
                  </m:rPr>
                  <w:rPr>
                    <w:rFonts w:ascii="Cambria Math" w:hAnsi="Cambria Math"/>
                  </w:rPr>
                  <m:t>=3600×</m:t>
                </m:r>
                <m:r>
                  <m:rPr/>
                  <w:rPr>
                    <w:rFonts w:ascii="Cambria Math" w:hAnsi="Cambria Math"/>
                  </w:rPr>
                  <m:t>Vx</m:t>
                </m:r>
                <m:r>
                  <m:rPr>
                    <m:sty m:val="p"/>
                  </m:rPr>
                  <w:rPr>
                    <w:rFonts w:ascii="Cambria Math" w:hAnsi="Cambria Math"/>
                  </w:rPr>
                  <m:t>×</m:t>
                </m:r>
                <m:r>
                  <m:rPr/>
                  <w:rPr>
                    <w:rFonts w:ascii="Cambria Math" w:hAnsi="Cambria Math"/>
                  </w:rPr>
                  <m:t>F</m:t>
                </m:r>
              </m:oMath>
            </m:oMathPara>
          </w:p>
          <w:p w14:paraId="1ACC34D4">
            <w:pPr>
              <w:pStyle w:val="2"/>
              <w:spacing w:before="0" w:after="0" w:line="360" w:lineRule="auto"/>
              <w:ind w:left="0" w:firstLine="480" w:firstLineChars="200"/>
              <w:rPr>
                <w:rFonts w:eastAsia="宋体"/>
                <w:b w:val="0"/>
                <w:bCs w:val="0"/>
                <w:sz w:val="24"/>
                <w:szCs w:val="24"/>
              </w:rPr>
            </w:pPr>
            <w:r>
              <w:rPr>
                <w:rFonts w:eastAsia="宋体"/>
                <w:b w:val="0"/>
                <w:bCs w:val="0"/>
                <w:sz w:val="24"/>
                <w:szCs w:val="24"/>
              </w:rPr>
              <w:t>矩形罩口：</w:t>
            </w:r>
            <w:r>
              <w:rPr>
                <w:rFonts w:eastAsia="宋体"/>
                <w:b w:val="0"/>
                <w:bCs w:val="0"/>
                <w:i/>
                <w:iCs/>
                <w:sz w:val="24"/>
                <w:szCs w:val="24"/>
              </w:rPr>
              <w:t>F</w:t>
            </w:r>
            <w:r>
              <w:rPr>
                <w:rFonts w:eastAsia="宋体"/>
                <w:b w:val="0"/>
                <w:bCs w:val="0"/>
                <w:sz w:val="24"/>
                <w:szCs w:val="24"/>
              </w:rPr>
              <w:t>=(</w:t>
            </w:r>
            <w:r>
              <w:rPr>
                <w:rFonts w:eastAsia="宋体"/>
                <w:b w:val="0"/>
                <w:bCs w:val="0"/>
                <w:i/>
                <w:iCs/>
                <w:sz w:val="24"/>
                <w:szCs w:val="24"/>
              </w:rPr>
              <w:t>a</w:t>
            </w:r>
            <w:r>
              <w:rPr>
                <w:rFonts w:eastAsia="宋体"/>
                <w:b w:val="0"/>
                <w:bCs w:val="0"/>
                <w:sz w:val="24"/>
                <w:szCs w:val="24"/>
              </w:rPr>
              <w:t>+0.5</w:t>
            </w:r>
            <w:r>
              <w:rPr>
                <w:rFonts w:eastAsia="宋体"/>
                <w:b w:val="0"/>
                <w:bCs w:val="0"/>
                <w:i/>
                <w:iCs/>
                <w:sz w:val="24"/>
                <w:szCs w:val="24"/>
              </w:rPr>
              <w:t>H</w:t>
            </w:r>
            <w:r>
              <w:rPr>
                <w:rFonts w:eastAsia="宋体"/>
                <w:b w:val="0"/>
                <w:bCs w:val="0"/>
                <w:sz w:val="24"/>
                <w:szCs w:val="24"/>
              </w:rPr>
              <w:t>)×(</w:t>
            </w:r>
            <w:r>
              <w:rPr>
                <w:rFonts w:eastAsia="宋体"/>
                <w:b w:val="0"/>
                <w:bCs w:val="0"/>
                <w:i/>
                <w:iCs/>
                <w:sz w:val="24"/>
                <w:szCs w:val="24"/>
              </w:rPr>
              <w:t>b</w:t>
            </w:r>
            <w:r>
              <w:rPr>
                <w:rFonts w:eastAsia="宋体"/>
                <w:b w:val="0"/>
                <w:bCs w:val="0"/>
                <w:sz w:val="24"/>
                <w:szCs w:val="24"/>
              </w:rPr>
              <w:t>+0.5</w:t>
            </w:r>
            <w:r>
              <w:rPr>
                <w:rFonts w:eastAsia="宋体"/>
                <w:b w:val="0"/>
                <w:bCs w:val="0"/>
                <w:i/>
                <w:iCs/>
                <w:sz w:val="24"/>
                <w:szCs w:val="24"/>
              </w:rPr>
              <w:t>H</w:t>
            </w:r>
            <w:r>
              <w:rPr>
                <w:rFonts w:eastAsia="宋体"/>
                <w:b w:val="0"/>
                <w:bCs w:val="0"/>
                <w:sz w:val="24"/>
                <w:szCs w:val="24"/>
              </w:rPr>
              <w:t>)</w:t>
            </w:r>
          </w:p>
          <w:p w14:paraId="27136B1B">
            <w:pPr>
              <w:pStyle w:val="2"/>
              <w:spacing w:before="0" w:after="0" w:line="360" w:lineRule="auto"/>
              <w:ind w:left="0" w:firstLine="480" w:firstLineChars="200"/>
              <w:rPr>
                <w:rFonts w:eastAsia="宋体"/>
                <w:b w:val="0"/>
                <w:bCs w:val="0"/>
                <w:sz w:val="24"/>
                <w:szCs w:val="24"/>
              </w:rPr>
            </w:pPr>
            <w:r>
              <w:rPr>
                <w:rFonts w:eastAsia="宋体"/>
                <w:b w:val="0"/>
                <w:bCs w:val="0"/>
                <w:sz w:val="24"/>
                <w:szCs w:val="24"/>
              </w:rPr>
              <w:t>式中：</w:t>
            </w:r>
            <w:r>
              <w:rPr>
                <w:rFonts w:eastAsia="宋体"/>
                <w:b w:val="0"/>
                <w:bCs w:val="0"/>
                <w:i/>
                <w:iCs/>
                <w:sz w:val="24"/>
                <w:szCs w:val="24"/>
              </w:rPr>
              <w:t>L</w:t>
            </w:r>
            <w:r>
              <w:rPr>
                <w:rFonts w:eastAsia="宋体"/>
                <w:b w:val="0"/>
                <w:bCs w:val="0"/>
                <w:sz w:val="24"/>
                <w:szCs w:val="24"/>
              </w:rPr>
              <w:t>—排风量，m</w:t>
            </w:r>
            <w:r>
              <w:rPr>
                <w:rFonts w:eastAsia="宋体"/>
                <w:b w:val="0"/>
                <w:bCs w:val="0"/>
                <w:sz w:val="24"/>
                <w:szCs w:val="24"/>
                <w:vertAlign w:val="superscript"/>
              </w:rPr>
              <w:t>3</w:t>
            </w:r>
            <w:r>
              <w:rPr>
                <w:rFonts w:eastAsia="宋体"/>
                <w:b w:val="0"/>
                <w:bCs w:val="0"/>
                <w:sz w:val="24"/>
                <w:szCs w:val="24"/>
              </w:rPr>
              <w:t>/h；</w:t>
            </w:r>
          </w:p>
          <w:p w14:paraId="2F00A63A">
            <w:pPr>
              <w:pStyle w:val="2"/>
              <w:spacing w:before="0" w:after="0" w:line="360" w:lineRule="auto"/>
              <w:ind w:left="0" w:firstLine="480" w:firstLineChars="200"/>
              <w:rPr>
                <w:rFonts w:eastAsia="宋体"/>
                <w:b w:val="0"/>
                <w:bCs w:val="0"/>
                <w:sz w:val="24"/>
                <w:szCs w:val="24"/>
              </w:rPr>
            </w:pPr>
            <w:r>
              <w:rPr>
                <w:rFonts w:eastAsia="宋体"/>
                <w:b w:val="0"/>
                <w:bCs w:val="0"/>
                <w:i/>
                <w:iCs/>
                <w:sz w:val="24"/>
                <w:szCs w:val="24"/>
              </w:rPr>
              <w:t>Vx</w:t>
            </w:r>
            <w:r>
              <w:rPr>
                <w:rFonts w:eastAsia="宋体"/>
                <w:b w:val="0"/>
                <w:bCs w:val="0"/>
                <w:sz w:val="24"/>
                <w:szCs w:val="24"/>
              </w:rPr>
              <w:t>—罩口平均风速，(m/s，取</w:t>
            </w:r>
            <w:r>
              <w:rPr>
                <w:rFonts w:hint="eastAsia" w:eastAsia="宋体"/>
                <w:b w:val="0"/>
                <w:bCs w:val="0"/>
                <w:sz w:val="24"/>
                <w:szCs w:val="24"/>
              </w:rPr>
              <w:t>1.2</w:t>
            </w:r>
            <w:r>
              <w:rPr>
                <w:rFonts w:eastAsia="宋体"/>
                <w:b w:val="0"/>
                <w:bCs w:val="0"/>
                <w:sz w:val="24"/>
                <w:szCs w:val="24"/>
              </w:rPr>
              <w:t>)；</w:t>
            </w:r>
          </w:p>
          <w:p w14:paraId="46F5DA7C">
            <w:pPr>
              <w:pStyle w:val="2"/>
              <w:spacing w:before="0" w:after="0" w:line="360" w:lineRule="auto"/>
              <w:ind w:left="0" w:firstLine="480" w:firstLineChars="200"/>
              <w:rPr>
                <w:rFonts w:eastAsia="宋体"/>
                <w:b w:val="0"/>
                <w:bCs w:val="0"/>
                <w:sz w:val="24"/>
                <w:szCs w:val="24"/>
              </w:rPr>
            </w:pPr>
            <w:r>
              <w:rPr>
                <w:rFonts w:eastAsia="宋体"/>
                <w:b w:val="0"/>
                <w:bCs w:val="0"/>
                <w:i/>
                <w:iCs/>
                <w:sz w:val="24"/>
                <w:szCs w:val="24"/>
              </w:rPr>
              <w:t>F</w:t>
            </w:r>
            <w:r>
              <w:rPr>
                <w:rFonts w:eastAsia="宋体"/>
                <w:b w:val="0"/>
                <w:bCs w:val="0"/>
                <w:sz w:val="24"/>
                <w:szCs w:val="24"/>
              </w:rPr>
              <w:t>—罩口面积</w:t>
            </w:r>
            <w:r>
              <w:rPr>
                <w:rFonts w:hint="eastAsia" w:eastAsia="宋体"/>
                <w:b w:val="0"/>
                <w:bCs w:val="0"/>
                <w:sz w:val="24"/>
                <w:szCs w:val="24"/>
              </w:rPr>
              <w:t>，</w:t>
            </w:r>
            <w:r>
              <w:rPr>
                <w:rFonts w:eastAsia="宋体"/>
                <w:b w:val="0"/>
                <w:bCs w:val="0"/>
                <w:sz w:val="24"/>
                <w:szCs w:val="24"/>
              </w:rPr>
              <w:t>m</w:t>
            </w:r>
            <w:r>
              <w:rPr>
                <w:rFonts w:eastAsia="宋体"/>
                <w:b w:val="0"/>
                <w:bCs w:val="0"/>
                <w:sz w:val="24"/>
                <w:szCs w:val="24"/>
                <w:vertAlign w:val="superscript"/>
              </w:rPr>
              <w:t>2</w:t>
            </w:r>
            <w:r>
              <w:rPr>
                <w:rFonts w:hint="eastAsia" w:eastAsia="宋体"/>
                <w:b w:val="0"/>
                <w:bCs w:val="0"/>
                <w:sz w:val="24"/>
                <w:szCs w:val="24"/>
              </w:rPr>
              <w:t>；</w:t>
            </w:r>
          </w:p>
          <w:p w14:paraId="60CB9199">
            <w:pPr>
              <w:pStyle w:val="2"/>
              <w:spacing w:before="0" w:after="0" w:line="360" w:lineRule="auto"/>
              <w:ind w:left="0" w:firstLine="480" w:firstLineChars="200"/>
              <w:rPr>
                <w:rFonts w:eastAsia="宋体"/>
                <w:b w:val="0"/>
                <w:bCs w:val="0"/>
                <w:sz w:val="24"/>
                <w:szCs w:val="24"/>
              </w:rPr>
            </w:pPr>
            <w:r>
              <w:rPr>
                <w:rFonts w:eastAsia="宋体"/>
                <w:b w:val="0"/>
                <w:bCs w:val="0"/>
                <w:i/>
                <w:iCs/>
                <w:sz w:val="24"/>
                <w:szCs w:val="24"/>
              </w:rPr>
              <w:t>a</w:t>
            </w:r>
            <w:r>
              <w:rPr>
                <w:rFonts w:eastAsia="宋体"/>
                <w:b w:val="0"/>
                <w:bCs w:val="0"/>
                <w:sz w:val="24"/>
                <w:szCs w:val="24"/>
              </w:rPr>
              <w:t>—污染源的长(m，取1.3)；</w:t>
            </w:r>
          </w:p>
          <w:p w14:paraId="7C9D9084">
            <w:pPr>
              <w:pStyle w:val="2"/>
              <w:spacing w:before="0" w:after="0" w:line="360" w:lineRule="auto"/>
              <w:ind w:left="0" w:firstLine="480" w:firstLineChars="200"/>
              <w:rPr>
                <w:rFonts w:eastAsia="宋体"/>
                <w:b w:val="0"/>
                <w:bCs w:val="0"/>
                <w:sz w:val="24"/>
                <w:szCs w:val="24"/>
              </w:rPr>
            </w:pPr>
            <w:r>
              <w:rPr>
                <w:rFonts w:eastAsia="宋体"/>
                <w:b w:val="0"/>
                <w:bCs w:val="0"/>
                <w:i/>
                <w:iCs/>
                <w:sz w:val="24"/>
                <w:szCs w:val="24"/>
              </w:rPr>
              <w:t>b</w:t>
            </w:r>
            <w:r>
              <w:rPr>
                <w:rFonts w:eastAsia="宋体"/>
                <w:b w:val="0"/>
                <w:bCs w:val="0"/>
                <w:sz w:val="24"/>
                <w:szCs w:val="24"/>
              </w:rPr>
              <w:t>—污染源的宽(m，取1.3)；</w:t>
            </w:r>
          </w:p>
          <w:p w14:paraId="43BE1469">
            <w:pPr>
              <w:pStyle w:val="2"/>
              <w:spacing w:before="0" w:after="0" w:line="360" w:lineRule="auto"/>
              <w:ind w:left="0" w:firstLine="480" w:firstLineChars="200"/>
              <w:rPr>
                <w:rFonts w:eastAsia="宋体"/>
                <w:b w:val="0"/>
                <w:bCs w:val="0"/>
                <w:sz w:val="24"/>
                <w:szCs w:val="24"/>
              </w:rPr>
            </w:pPr>
            <w:r>
              <w:rPr>
                <w:rFonts w:eastAsia="宋体"/>
                <w:b w:val="0"/>
                <w:bCs w:val="0"/>
                <w:i/>
                <w:iCs/>
                <w:sz w:val="24"/>
                <w:szCs w:val="24"/>
              </w:rPr>
              <w:t>H</w:t>
            </w:r>
            <w:r>
              <w:rPr>
                <w:rFonts w:eastAsia="宋体"/>
                <w:b w:val="0"/>
                <w:bCs w:val="0"/>
                <w:sz w:val="24"/>
                <w:szCs w:val="24"/>
              </w:rPr>
              <w:t>—罩口离设备面的高度(m，取</w:t>
            </w:r>
            <w:r>
              <w:rPr>
                <w:rFonts w:hint="eastAsia" w:eastAsia="宋体"/>
                <w:b w:val="0"/>
                <w:bCs w:val="0"/>
                <w:sz w:val="24"/>
                <w:szCs w:val="24"/>
              </w:rPr>
              <w:t>2</w:t>
            </w:r>
            <w:r>
              <w:rPr>
                <w:rFonts w:eastAsia="宋体"/>
                <w:b w:val="0"/>
                <w:bCs w:val="0"/>
                <w:sz w:val="24"/>
                <w:szCs w:val="24"/>
              </w:rPr>
              <w:t>)；</w:t>
            </w:r>
          </w:p>
          <w:p w14:paraId="6E21CEBE">
            <w:pPr>
              <w:pStyle w:val="2"/>
              <w:spacing w:before="0" w:after="0" w:line="360" w:lineRule="auto"/>
              <w:ind w:left="0" w:firstLine="480" w:firstLineChars="200"/>
              <w:rPr>
                <w:rFonts w:eastAsia="宋体"/>
                <w:b w:val="0"/>
                <w:bCs w:val="0"/>
                <w:sz w:val="24"/>
                <w:szCs w:val="24"/>
              </w:rPr>
            </w:pPr>
            <w:r>
              <w:rPr>
                <w:rFonts w:hint="eastAsia" w:eastAsia="宋体"/>
                <w:b w:val="0"/>
                <w:bCs w:val="0"/>
                <w:sz w:val="24"/>
                <w:szCs w:val="24"/>
              </w:rPr>
              <w:t>经计算，给料机上方的集气罩所需风量见表4-2。</w:t>
            </w:r>
          </w:p>
          <w:p w14:paraId="22053D9F">
            <w:pPr>
              <w:spacing w:line="360" w:lineRule="auto"/>
              <w:jc w:val="center"/>
              <w:rPr>
                <w:b/>
                <w:szCs w:val="21"/>
              </w:rPr>
            </w:pPr>
            <w:r>
              <w:rPr>
                <w:rFonts w:hint="eastAsia"/>
                <w:b/>
                <w:szCs w:val="21"/>
              </w:rPr>
              <w:t>表4-2  各集气设施尺寸及其离源距离</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715"/>
              <w:gridCol w:w="715"/>
              <w:gridCol w:w="1477"/>
              <w:gridCol w:w="1436"/>
              <w:gridCol w:w="1436"/>
            </w:tblGrid>
            <w:tr w14:paraId="0C600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pct"/>
                  <w:tcBorders>
                    <w:tl2br w:val="nil"/>
                    <w:tr2bl w:val="nil"/>
                  </w:tcBorders>
                  <w:vAlign w:val="center"/>
                </w:tcPr>
                <w:p w14:paraId="3E19B422">
                  <w:pPr>
                    <w:adjustRightInd w:val="0"/>
                    <w:snapToGrid w:val="0"/>
                    <w:spacing w:line="280" w:lineRule="exact"/>
                    <w:jc w:val="center"/>
                    <w:rPr>
                      <w:szCs w:val="21"/>
                    </w:rPr>
                  </w:pPr>
                  <w:r>
                    <w:rPr>
                      <w:szCs w:val="21"/>
                    </w:rPr>
                    <w:t>设备名称</w:t>
                  </w:r>
                </w:p>
              </w:tc>
              <w:tc>
                <w:tcPr>
                  <w:tcW w:w="1045" w:type="pct"/>
                  <w:tcBorders>
                    <w:tl2br w:val="nil"/>
                    <w:tr2bl w:val="nil"/>
                  </w:tcBorders>
                  <w:vAlign w:val="center"/>
                </w:tcPr>
                <w:p w14:paraId="7B205F1B">
                  <w:pPr>
                    <w:adjustRightInd w:val="0"/>
                    <w:snapToGrid w:val="0"/>
                    <w:spacing w:line="280" w:lineRule="exact"/>
                    <w:jc w:val="center"/>
                    <w:rPr>
                      <w:szCs w:val="21"/>
                    </w:rPr>
                  </w:pPr>
                  <w:r>
                    <w:rPr>
                      <w:szCs w:val="21"/>
                    </w:rPr>
                    <w:t>集气罩尺寸及距源距离</w:t>
                  </w:r>
                </w:p>
              </w:tc>
              <w:tc>
                <w:tcPr>
                  <w:tcW w:w="436" w:type="pct"/>
                  <w:tcBorders>
                    <w:tl2br w:val="nil"/>
                    <w:tr2bl w:val="nil"/>
                  </w:tcBorders>
                  <w:vAlign w:val="center"/>
                </w:tcPr>
                <w:p w14:paraId="6D757641">
                  <w:pPr>
                    <w:adjustRightInd w:val="0"/>
                    <w:snapToGrid w:val="0"/>
                    <w:spacing w:line="280" w:lineRule="exact"/>
                    <w:jc w:val="center"/>
                    <w:rPr>
                      <w:szCs w:val="21"/>
                    </w:rPr>
                  </w:pPr>
                  <w:r>
                    <w:rPr>
                      <w:rFonts w:hint="eastAsia"/>
                      <w:szCs w:val="21"/>
                    </w:rPr>
                    <w:t>吸风</w:t>
                  </w:r>
                </w:p>
                <w:p w14:paraId="23ED7816">
                  <w:pPr>
                    <w:adjustRightInd w:val="0"/>
                    <w:snapToGrid w:val="0"/>
                    <w:spacing w:line="280" w:lineRule="exact"/>
                    <w:jc w:val="center"/>
                    <w:rPr>
                      <w:szCs w:val="21"/>
                    </w:rPr>
                  </w:pPr>
                  <w:r>
                    <w:rPr>
                      <w:rFonts w:hint="eastAsia"/>
                      <w:szCs w:val="21"/>
                    </w:rPr>
                    <w:t>系数</w:t>
                  </w:r>
                </w:p>
              </w:tc>
              <w:tc>
                <w:tcPr>
                  <w:tcW w:w="900" w:type="pct"/>
                  <w:tcBorders>
                    <w:tl2br w:val="nil"/>
                    <w:tr2bl w:val="nil"/>
                  </w:tcBorders>
                  <w:vAlign w:val="center"/>
                </w:tcPr>
                <w:p w14:paraId="2212EA81">
                  <w:pPr>
                    <w:adjustRightInd w:val="0"/>
                    <w:snapToGrid w:val="0"/>
                    <w:spacing w:line="280" w:lineRule="exact"/>
                    <w:jc w:val="center"/>
                    <w:rPr>
                      <w:szCs w:val="21"/>
                    </w:rPr>
                  </w:pPr>
                  <w:r>
                    <w:rPr>
                      <w:szCs w:val="21"/>
                    </w:rPr>
                    <w:t>罩口</w:t>
                  </w:r>
                  <w:r>
                    <w:rPr>
                      <w:rFonts w:hint="eastAsia"/>
                      <w:szCs w:val="21"/>
                    </w:rPr>
                    <w:t>（管口）</w:t>
                  </w:r>
                  <w:r>
                    <w:rPr>
                      <w:szCs w:val="21"/>
                    </w:rPr>
                    <w:t>风速m/s</w:t>
                  </w:r>
                </w:p>
              </w:tc>
              <w:tc>
                <w:tcPr>
                  <w:tcW w:w="875" w:type="pct"/>
                  <w:tcBorders>
                    <w:tl2br w:val="nil"/>
                    <w:tr2bl w:val="nil"/>
                  </w:tcBorders>
                  <w:vAlign w:val="center"/>
                </w:tcPr>
                <w:p w14:paraId="4ABB2670">
                  <w:pPr>
                    <w:adjustRightInd w:val="0"/>
                    <w:snapToGrid w:val="0"/>
                    <w:spacing w:line="280" w:lineRule="exact"/>
                    <w:jc w:val="center"/>
                    <w:rPr>
                      <w:szCs w:val="21"/>
                    </w:rPr>
                  </w:pPr>
                  <w:r>
                    <w:rPr>
                      <w:rFonts w:hint="eastAsia"/>
                      <w:szCs w:val="21"/>
                    </w:rPr>
                    <w:t>单个</w:t>
                  </w:r>
                  <w:r>
                    <w:rPr>
                      <w:szCs w:val="21"/>
                    </w:rPr>
                    <w:t>除尘风量m</w:t>
                  </w:r>
                  <w:r>
                    <w:rPr>
                      <w:szCs w:val="21"/>
                      <w:vertAlign w:val="superscript"/>
                    </w:rPr>
                    <w:t>3</w:t>
                  </w:r>
                  <w:r>
                    <w:rPr>
                      <w:szCs w:val="21"/>
                    </w:rPr>
                    <w:t>/h</w:t>
                  </w:r>
                </w:p>
              </w:tc>
              <w:tc>
                <w:tcPr>
                  <w:tcW w:w="875" w:type="pct"/>
                  <w:tcBorders>
                    <w:tl2br w:val="nil"/>
                    <w:tr2bl w:val="nil"/>
                  </w:tcBorders>
                  <w:vAlign w:val="center"/>
                </w:tcPr>
                <w:p w14:paraId="08BE6CC9">
                  <w:pPr>
                    <w:adjustRightInd w:val="0"/>
                    <w:snapToGrid w:val="0"/>
                    <w:spacing w:line="280" w:lineRule="exact"/>
                    <w:jc w:val="center"/>
                    <w:rPr>
                      <w:szCs w:val="21"/>
                    </w:rPr>
                  </w:pPr>
                  <w:r>
                    <w:rPr>
                      <w:szCs w:val="21"/>
                    </w:rPr>
                    <w:t>除尘风量</w:t>
                  </w:r>
                  <w:r>
                    <w:rPr>
                      <w:rFonts w:hint="eastAsia"/>
                      <w:szCs w:val="21"/>
                    </w:rPr>
                    <w:t>合计</w:t>
                  </w:r>
                  <w:r>
                    <w:rPr>
                      <w:szCs w:val="21"/>
                    </w:rPr>
                    <w:t>m</w:t>
                  </w:r>
                  <w:r>
                    <w:rPr>
                      <w:szCs w:val="21"/>
                      <w:vertAlign w:val="superscript"/>
                    </w:rPr>
                    <w:t>3</w:t>
                  </w:r>
                  <w:r>
                    <w:rPr>
                      <w:szCs w:val="21"/>
                    </w:rPr>
                    <w:t>/h</w:t>
                  </w:r>
                </w:p>
              </w:tc>
            </w:tr>
            <w:tr w14:paraId="3D50E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pct"/>
                  <w:tcBorders>
                    <w:tl2br w:val="nil"/>
                    <w:tr2bl w:val="nil"/>
                  </w:tcBorders>
                  <w:vAlign w:val="center"/>
                </w:tcPr>
                <w:p w14:paraId="5A66E356">
                  <w:pPr>
                    <w:spacing w:line="280" w:lineRule="exact"/>
                    <w:jc w:val="center"/>
                    <w:rPr>
                      <w:szCs w:val="21"/>
                    </w:rPr>
                  </w:pPr>
                  <w:r>
                    <w:rPr>
                      <w:rFonts w:hint="eastAsia"/>
                      <w:szCs w:val="21"/>
                    </w:rPr>
                    <w:t>受料斗上方</w:t>
                  </w:r>
                  <w:r>
                    <w:rPr>
                      <w:szCs w:val="21"/>
                    </w:rPr>
                    <w:t>集气罩</w:t>
                  </w:r>
                </w:p>
              </w:tc>
              <w:tc>
                <w:tcPr>
                  <w:tcW w:w="1045" w:type="pct"/>
                  <w:tcBorders>
                    <w:tl2br w:val="nil"/>
                    <w:tr2bl w:val="nil"/>
                  </w:tcBorders>
                  <w:vAlign w:val="center"/>
                </w:tcPr>
                <w:p w14:paraId="382C3C19">
                  <w:pPr>
                    <w:spacing w:line="280" w:lineRule="exact"/>
                    <w:jc w:val="center"/>
                    <w:rPr>
                      <w:szCs w:val="21"/>
                    </w:rPr>
                  </w:pPr>
                  <w:r>
                    <w:rPr>
                      <w:szCs w:val="21"/>
                    </w:rPr>
                    <w:t>2.3m×2.3m</w:t>
                  </w:r>
                  <w:r>
                    <w:rPr>
                      <w:rFonts w:hint="eastAsia"/>
                      <w:szCs w:val="21"/>
                    </w:rPr>
                    <w:t>，</w:t>
                  </w:r>
                </w:p>
                <w:p w14:paraId="140A6D77">
                  <w:pPr>
                    <w:spacing w:line="280" w:lineRule="exact"/>
                    <w:jc w:val="center"/>
                    <w:rPr>
                      <w:szCs w:val="21"/>
                    </w:rPr>
                  </w:pPr>
                  <w:r>
                    <w:rPr>
                      <w:rFonts w:hint="eastAsia"/>
                      <w:szCs w:val="21"/>
                    </w:rPr>
                    <w:t>罩口距坑口2</w:t>
                  </w:r>
                  <w:r>
                    <w:rPr>
                      <w:szCs w:val="21"/>
                    </w:rPr>
                    <w:t>m</w:t>
                  </w:r>
                </w:p>
              </w:tc>
              <w:tc>
                <w:tcPr>
                  <w:tcW w:w="436" w:type="pct"/>
                  <w:tcBorders>
                    <w:tl2br w:val="nil"/>
                    <w:tr2bl w:val="nil"/>
                  </w:tcBorders>
                  <w:vAlign w:val="center"/>
                </w:tcPr>
                <w:p w14:paraId="6F1634A9">
                  <w:pPr>
                    <w:spacing w:line="280" w:lineRule="exact"/>
                    <w:jc w:val="center"/>
                    <w:rPr>
                      <w:szCs w:val="21"/>
                    </w:rPr>
                  </w:pPr>
                  <w:r>
                    <w:rPr>
                      <w:rFonts w:hint="eastAsia"/>
                      <w:szCs w:val="21"/>
                    </w:rPr>
                    <w:t>1.1</w:t>
                  </w:r>
                </w:p>
              </w:tc>
              <w:tc>
                <w:tcPr>
                  <w:tcW w:w="900" w:type="pct"/>
                  <w:tcBorders>
                    <w:tl2br w:val="nil"/>
                    <w:tr2bl w:val="nil"/>
                  </w:tcBorders>
                  <w:vAlign w:val="center"/>
                </w:tcPr>
                <w:p w14:paraId="41EF2DB5">
                  <w:pPr>
                    <w:spacing w:line="280" w:lineRule="exact"/>
                    <w:jc w:val="center"/>
                    <w:rPr>
                      <w:szCs w:val="21"/>
                    </w:rPr>
                  </w:pPr>
                  <w:r>
                    <w:rPr>
                      <w:rFonts w:hint="eastAsia"/>
                      <w:szCs w:val="21"/>
                    </w:rPr>
                    <w:t>1.0</w:t>
                  </w:r>
                </w:p>
              </w:tc>
              <w:tc>
                <w:tcPr>
                  <w:tcW w:w="875" w:type="pct"/>
                  <w:tcBorders>
                    <w:tl2br w:val="nil"/>
                    <w:tr2bl w:val="nil"/>
                  </w:tcBorders>
                  <w:vAlign w:val="center"/>
                </w:tcPr>
                <w:p w14:paraId="0FB94B67">
                  <w:pPr>
                    <w:jc w:val="center"/>
                    <w:rPr>
                      <w:kern w:val="0"/>
                      <w:szCs w:val="21"/>
                    </w:rPr>
                  </w:pPr>
                  <w:r>
                    <w:rPr>
                      <w:rFonts w:hint="eastAsia"/>
                      <w:kern w:val="0"/>
                      <w:szCs w:val="21"/>
                    </w:rPr>
                    <w:t>25138</w:t>
                  </w:r>
                </w:p>
              </w:tc>
              <w:tc>
                <w:tcPr>
                  <w:tcW w:w="875" w:type="pct"/>
                  <w:tcBorders>
                    <w:tl2br w:val="nil"/>
                    <w:tr2bl w:val="nil"/>
                  </w:tcBorders>
                  <w:vAlign w:val="center"/>
                </w:tcPr>
                <w:p w14:paraId="528E6F4E">
                  <w:pPr>
                    <w:jc w:val="center"/>
                    <w:rPr>
                      <w:kern w:val="0"/>
                      <w:szCs w:val="21"/>
                    </w:rPr>
                  </w:pPr>
                  <w:r>
                    <w:rPr>
                      <w:rFonts w:hint="eastAsia"/>
                      <w:kern w:val="0"/>
                      <w:szCs w:val="21"/>
                    </w:rPr>
                    <w:t>25138</w:t>
                  </w:r>
                </w:p>
              </w:tc>
            </w:tr>
          </w:tbl>
          <w:p w14:paraId="63FC851A">
            <w:pPr>
              <w:pStyle w:val="2"/>
              <w:spacing w:before="0" w:after="0" w:line="360" w:lineRule="auto"/>
              <w:ind w:left="0" w:firstLine="480" w:firstLineChars="200"/>
              <w:rPr>
                <w:rFonts w:eastAsia="宋体"/>
                <w:b w:val="0"/>
                <w:bCs w:val="0"/>
                <w:sz w:val="24"/>
                <w:szCs w:val="24"/>
              </w:rPr>
            </w:pPr>
            <w:r>
              <w:rPr>
                <w:rFonts w:eastAsia="宋体"/>
                <w:b w:val="0"/>
                <w:bCs w:val="0"/>
                <w:sz w:val="24"/>
                <w:szCs w:val="24"/>
              </w:rPr>
              <w:t>根据集尘罩风量计算，风机风量设</w:t>
            </w:r>
            <w:r>
              <w:rPr>
                <w:rFonts w:eastAsia="宋体"/>
                <w:b w:val="0"/>
                <w:bCs w:val="0"/>
                <w:color w:val="auto"/>
                <w:sz w:val="24"/>
                <w:szCs w:val="24"/>
              </w:rPr>
              <w:t>计为</w:t>
            </w:r>
            <w:r>
              <w:rPr>
                <w:rFonts w:hint="eastAsia" w:eastAsia="宋体"/>
                <w:b w:val="0"/>
                <w:bCs w:val="0"/>
                <w:color w:val="auto"/>
                <w:sz w:val="24"/>
                <w:szCs w:val="24"/>
              </w:rPr>
              <w:t>26000</w:t>
            </w:r>
            <w:r>
              <w:rPr>
                <w:rFonts w:eastAsia="宋体"/>
                <w:b w:val="0"/>
                <w:bCs w:val="0"/>
                <w:color w:val="auto"/>
                <w:sz w:val="24"/>
                <w:szCs w:val="24"/>
              </w:rPr>
              <w:t>m</w:t>
            </w:r>
            <w:r>
              <w:rPr>
                <w:rFonts w:eastAsia="宋体"/>
                <w:b w:val="0"/>
                <w:bCs w:val="0"/>
                <w:color w:val="auto"/>
                <w:sz w:val="24"/>
                <w:szCs w:val="24"/>
                <w:vertAlign w:val="superscript"/>
              </w:rPr>
              <w:t>3</w:t>
            </w:r>
            <w:r>
              <w:rPr>
                <w:rFonts w:eastAsia="宋体"/>
                <w:b w:val="0"/>
                <w:bCs w:val="0"/>
                <w:color w:val="auto"/>
                <w:sz w:val="24"/>
                <w:szCs w:val="24"/>
              </w:rPr>
              <w:t>/h，</w:t>
            </w:r>
            <w:r>
              <w:rPr>
                <w:rFonts w:hint="eastAsia" w:eastAsia="宋体"/>
                <w:b w:val="0"/>
                <w:bCs w:val="0"/>
                <w:color w:val="auto"/>
                <w:sz w:val="24"/>
                <w:szCs w:val="24"/>
              </w:rPr>
              <w:t>出口颗粒物最大浓度为1</w:t>
            </w:r>
            <w:r>
              <w:rPr>
                <w:rFonts w:eastAsia="宋体"/>
                <w:b w:val="0"/>
                <w:bCs w:val="0"/>
                <w:color w:val="auto"/>
                <w:sz w:val="24"/>
                <w:szCs w:val="24"/>
              </w:rPr>
              <w:t>0</w:t>
            </w:r>
            <w:r>
              <w:rPr>
                <w:rFonts w:hint="eastAsia" w:eastAsia="宋体"/>
                <w:b w:val="0"/>
                <w:bCs w:val="0"/>
                <w:color w:val="auto"/>
                <w:sz w:val="24"/>
                <w:szCs w:val="24"/>
              </w:rPr>
              <w:t>mg</w:t>
            </w:r>
            <w:r>
              <w:rPr>
                <w:rFonts w:eastAsia="宋体"/>
                <w:b w:val="0"/>
                <w:bCs w:val="0"/>
                <w:color w:val="auto"/>
                <w:sz w:val="24"/>
                <w:szCs w:val="24"/>
              </w:rPr>
              <w:t>/m</w:t>
            </w:r>
            <w:r>
              <w:rPr>
                <w:rFonts w:eastAsia="宋体"/>
                <w:b w:val="0"/>
                <w:bCs w:val="0"/>
                <w:color w:val="auto"/>
                <w:sz w:val="24"/>
                <w:szCs w:val="24"/>
                <w:vertAlign w:val="superscript"/>
              </w:rPr>
              <w:t>3</w:t>
            </w:r>
            <w:r>
              <w:rPr>
                <w:rFonts w:hint="eastAsia" w:eastAsia="宋体"/>
                <w:b w:val="0"/>
                <w:bCs w:val="0"/>
                <w:color w:val="auto"/>
                <w:sz w:val="24"/>
                <w:szCs w:val="24"/>
              </w:rPr>
              <w:t>，</w:t>
            </w:r>
            <w:r>
              <w:rPr>
                <w:rFonts w:eastAsia="宋体"/>
                <w:b w:val="0"/>
                <w:bCs w:val="0"/>
                <w:color w:val="auto"/>
                <w:sz w:val="24"/>
                <w:szCs w:val="24"/>
              </w:rPr>
              <w:t>滤袋过滤风速0.6m/min，过滤面积为</w:t>
            </w:r>
            <w:r>
              <w:rPr>
                <w:rFonts w:hint="eastAsia" w:eastAsia="宋体"/>
                <w:b w:val="0"/>
                <w:bCs w:val="0"/>
                <w:color w:val="auto"/>
                <w:sz w:val="24"/>
                <w:szCs w:val="24"/>
              </w:rPr>
              <w:t>722.2</w:t>
            </w:r>
            <w:r>
              <w:rPr>
                <w:rFonts w:eastAsia="宋体"/>
                <w:b w:val="0"/>
                <w:bCs w:val="0"/>
                <w:color w:val="auto"/>
                <w:sz w:val="24"/>
                <w:szCs w:val="24"/>
              </w:rPr>
              <w:t>m</w:t>
            </w:r>
            <w:r>
              <w:rPr>
                <w:rFonts w:eastAsia="宋体"/>
                <w:b w:val="0"/>
                <w:bCs w:val="0"/>
                <w:color w:val="auto"/>
                <w:sz w:val="24"/>
                <w:szCs w:val="24"/>
                <w:vertAlign w:val="superscript"/>
              </w:rPr>
              <w:t>2</w:t>
            </w:r>
            <w:r>
              <w:rPr>
                <w:rFonts w:eastAsia="宋体"/>
                <w:b w:val="0"/>
                <w:bCs w:val="0"/>
                <w:color w:val="auto"/>
                <w:sz w:val="24"/>
                <w:szCs w:val="24"/>
              </w:rPr>
              <w:t>，</w:t>
            </w:r>
            <w:r>
              <w:rPr>
                <w:rFonts w:eastAsia="宋体"/>
                <w:b w:val="0"/>
                <w:bCs w:val="0"/>
                <w:sz w:val="24"/>
                <w:szCs w:val="24"/>
              </w:rPr>
              <w:t>除尘效率</w:t>
            </w:r>
            <w:r>
              <w:rPr>
                <w:rFonts w:hint="eastAsia" w:eastAsia="宋体"/>
                <w:b w:val="0"/>
                <w:bCs w:val="0"/>
                <w:sz w:val="24"/>
                <w:szCs w:val="24"/>
              </w:rPr>
              <w:t>大于</w:t>
            </w:r>
            <w:r>
              <w:rPr>
                <w:rFonts w:eastAsia="宋体"/>
                <w:b w:val="0"/>
                <w:bCs w:val="0"/>
                <w:sz w:val="24"/>
                <w:szCs w:val="24"/>
              </w:rPr>
              <w:t>99%，</w:t>
            </w:r>
            <w:r>
              <w:rPr>
                <w:rFonts w:hint="eastAsia" w:eastAsia="宋体"/>
                <w:b w:val="0"/>
                <w:bCs w:val="0"/>
                <w:sz w:val="24"/>
                <w:szCs w:val="24"/>
              </w:rPr>
              <w:t>生产线</w:t>
            </w:r>
            <w:r>
              <w:rPr>
                <w:rFonts w:eastAsia="宋体"/>
                <w:b w:val="0"/>
                <w:bCs w:val="0"/>
                <w:sz w:val="24"/>
                <w:szCs w:val="24"/>
              </w:rPr>
              <w:t>年工作2</w:t>
            </w:r>
            <w:r>
              <w:rPr>
                <w:rFonts w:hint="eastAsia" w:eastAsia="宋体"/>
                <w:b w:val="0"/>
                <w:bCs w:val="0"/>
                <w:sz w:val="24"/>
                <w:szCs w:val="24"/>
              </w:rPr>
              <w:t>4</w:t>
            </w:r>
            <w:r>
              <w:rPr>
                <w:rFonts w:eastAsia="宋体"/>
                <w:b w:val="0"/>
                <w:bCs w:val="0"/>
                <w:sz w:val="24"/>
                <w:szCs w:val="24"/>
              </w:rPr>
              <w:t>00h。</w:t>
            </w:r>
          </w:p>
          <w:p w14:paraId="698B215E">
            <w:pPr>
              <w:pStyle w:val="2"/>
              <w:spacing w:before="0" w:after="0" w:line="360" w:lineRule="auto"/>
              <w:ind w:left="0" w:firstLine="480" w:firstLineChars="200"/>
              <w:rPr>
                <w:rFonts w:eastAsia="宋体"/>
                <w:b w:val="0"/>
                <w:bCs w:val="0"/>
                <w:sz w:val="24"/>
                <w:szCs w:val="24"/>
              </w:rPr>
            </w:pPr>
            <w:r>
              <w:rPr>
                <w:rFonts w:hint="eastAsia" w:eastAsia="宋体"/>
                <w:b w:val="0"/>
                <w:bCs w:val="0"/>
                <w:sz w:val="24"/>
                <w:szCs w:val="24"/>
              </w:rPr>
              <w:t>参考《逸散性工业粉尘控制技术》，表18-1中送料筛选、运输和搬运砂和砾石粉尘产生系数为0.15kg/t（搬运料），进入受料斗的原料为157824t。</w:t>
            </w:r>
          </w:p>
          <w:p w14:paraId="198BF4B5">
            <w:pPr>
              <w:pStyle w:val="2"/>
              <w:spacing w:before="0" w:after="0" w:line="360" w:lineRule="auto"/>
              <w:ind w:left="0" w:firstLine="480" w:firstLineChars="200"/>
              <w:rPr>
                <w:rFonts w:eastAsia="宋体"/>
                <w:b w:val="0"/>
                <w:bCs w:val="0"/>
                <w:sz w:val="24"/>
                <w:szCs w:val="24"/>
              </w:rPr>
            </w:pPr>
            <w:r>
              <w:rPr>
                <w:rFonts w:hint="eastAsia" w:eastAsia="宋体"/>
                <w:b w:val="0"/>
                <w:bCs w:val="0"/>
                <w:sz w:val="24"/>
                <w:szCs w:val="24"/>
              </w:rPr>
              <w:t>上料至给料机粉尘产生量为23.66t/a。</w:t>
            </w:r>
          </w:p>
          <w:p w14:paraId="29378A43">
            <w:pPr>
              <w:adjustRightInd w:val="0"/>
              <w:snapToGrid w:val="0"/>
              <w:spacing w:line="360" w:lineRule="auto"/>
              <w:ind w:firstLine="480" w:firstLineChars="200"/>
              <w:rPr>
                <w:sz w:val="24"/>
              </w:rPr>
            </w:pPr>
            <w:r>
              <w:rPr>
                <w:rFonts w:hint="eastAsia"/>
                <w:sz w:val="24"/>
              </w:rPr>
              <w:t>有组织粉尘排放量为10mg/m</w:t>
            </w:r>
            <w:r>
              <w:rPr>
                <w:sz w:val="24"/>
                <w:vertAlign w:val="superscript"/>
              </w:rPr>
              <w:t>3</w:t>
            </w:r>
            <w:r>
              <w:rPr>
                <w:rFonts w:hint="eastAsia"/>
                <w:sz w:val="24"/>
              </w:rPr>
              <w:t>×2400h×26000m</w:t>
            </w:r>
            <w:r>
              <w:rPr>
                <w:sz w:val="24"/>
                <w:vertAlign w:val="superscript"/>
              </w:rPr>
              <w:t>3</w:t>
            </w:r>
            <w:r>
              <w:rPr>
                <w:rFonts w:hint="eastAsia"/>
                <w:sz w:val="24"/>
              </w:rPr>
              <w:t>/h=0.624t/a，排放速率0.26kg/h；无组织粉尘产生量为23.66t/a×（1-95%）=1.183t/a。</w:t>
            </w:r>
          </w:p>
          <w:p w14:paraId="52C00341">
            <w:pPr>
              <w:spacing w:line="360" w:lineRule="auto"/>
              <w:ind w:firstLine="488"/>
              <w:rPr>
                <w:bCs/>
                <w:kern w:val="0"/>
                <w:sz w:val="24"/>
              </w:rPr>
            </w:pPr>
            <w:r>
              <w:rPr>
                <w:rFonts w:hint="eastAsia"/>
                <w:spacing w:val="2"/>
                <w:sz w:val="24"/>
              </w:rPr>
              <w:t>未进</w:t>
            </w:r>
            <w:r>
              <w:rPr>
                <w:rFonts w:hint="eastAsia"/>
                <w:bCs/>
                <w:kern w:val="0"/>
                <w:sz w:val="24"/>
              </w:rPr>
              <w:t>入集尘罩的颗粒物无组织逸散在厂房，这些颗粒物经过全封闭式厂房自然沉降，厂房自然沉降除尘效率为95%。</w:t>
            </w:r>
          </w:p>
          <w:p w14:paraId="2B49C96E">
            <w:pPr>
              <w:adjustRightInd w:val="0"/>
              <w:snapToGrid w:val="0"/>
              <w:spacing w:line="360" w:lineRule="auto"/>
              <w:ind w:firstLine="480" w:firstLineChars="200"/>
              <w:rPr>
                <w:sz w:val="24"/>
              </w:rPr>
            </w:pPr>
            <w:r>
              <w:rPr>
                <w:rFonts w:hint="eastAsia"/>
                <w:sz w:val="24"/>
              </w:rPr>
              <w:t>则无组织粉尘排放量为1.183t/a×（1-95%）=0.06t/a</w:t>
            </w:r>
          </w:p>
          <w:p w14:paraId="48C13B41">
            <w:pPr>
              <w:adjustRightInd w:val="0"/>
              <w:snapToGrid w:val="0"/>
              <w:spacing w:line="360" w:lineRule="auto"/>
              <w:ind w:firstLine="482" w:firstLineChars="200"/>
              <w:rPr>
                <w:rFonts w:hint="eastAsia" w:ascii="宋体" w:hAnsi="宋体" w:cs="宋体"/>
                <w:b/>
                <w:sz w:val="24"/>
                <w:lang w:val="pt-BR"/>
              </w:rPr>
            </w:pPr>
            <w:r>
              <w:rPr>
                <w:rFonts w:hint="eastAsia"/>
                <w:b/>
                <w:bCs/>
                <w:sz w:val="24"/>
              </w:rPr>
              <w:t>（5）</w:t>
            </w:r>
            <w:r>
              <w:rPr>
                <w:rFonts w:hint="eastAsia"/>
                <w:b/>
                <w:sz w:val="24"/>
                <w:lang w:val="pt-BR"/>
              </w:rPr>
              <w:t>搅</w:t>
            </w:r>
            <w:r>
              <w:rPr>
                <w:rFonts w:hint="eastAsia" w:ascii="宋体" w:hAnsi="宋体" w:cs="宋体"/>
                <w:b/>
                <w:sz w:val="24"/>
                <w:lang w:val="pt-BR"/>
              </w:rPr>
              <w:t>拌主机上料、搅拌粉尘</w:t>
            </w:r>
          </w:p>
          <w:p w14:paraId="380B1297">
            <w:pPr>
              <w:adjustRightInd w:val="0"/>
              <w:snapToGrid w:val="0"/>
              <w:spacing w:line="360" w:lineRule="auto"/>
              <w:ind w:firstLine="480" w:firstLineChars="200"/>
              <w:rPr>
                <w:bCs/>
                <w:sz w:val="24"/>
              </w:rPr>
            </w:pPr>
            <w:r>
              <w:rPr>
                <w:rFonts w:hint="eastAsia"/>
                <w:bCs/>
                <w:sz w:val="24"/>
              </w:rPr>
              <w:t>搅拌主机物料计量进料和搅拌过程中会产生粉尘，粉尘收集后经主楼除尘器统一处理后排放。主楼除尘器的设计风量</w:t>
            </w:r>
            <w:r>
              <w:rPr>
                <w:bCs/>
                <w:sz w:val="24"/>
              </w:rPr>
              <w:t>4320~8640m</w:t>
            </w:r>
            <w:r>
              <w:rPr>
                <w:bCs/>
                <w:sz w:val="24"/>
                <w:vertAlign w:val="superscript"/>
              </w:rPr>
              <w:t>3</w:t>
            </w:r>
            <w:r>
              <w:rPr>
                <w:bCs/>
                <w:sz w:val="24"/>
              </w:rPr>
              <w:t>/h</w:t>
            </w:r>
            <w:r>
              <w:rPr>
                <w:rFonts w:hint="eastAsia"/>
                <w:bCs/>
                <w:sz w:val="24"/>
              </w:rPr>
              <w:t>，出口含尘气体浓度小于</w:t>
            </w:r>
            <w:r>
              <w:rPr>
                <w:bCs/>
                <w:sz w:val="24"/>
              </w:rPr>
              <w:t>10mg/m</w:t>
            </w:r>
            <w:r>
              <w:rPr>
                <w:bCs/>
                <w:sz w:val="24"/>
                <w:vertAlign w:val="superscript"/>
              </w:rPr>
              <w:t>3</w:t>
            </w:r>
            <w:r>
              <w:rPr>
                <w:rFonts w:hint="eastAsia"/>
                <w:bCs/>
                <w:sz w:val="24"/>
              </w:rPr>
              <w:t>，</w:t>
            </w:r>
            <w:r>
              <w:rPr>
                <w:rFonts w:hint="eastAsia"/>
                <w:sz w:val="24"/>
              </w:rPr>
              <w:t>滤袋过滤风速</w:t>
            </w:r>
            <w:r>
              <w:rPr>
                <w:sz w:val="24"/>
              </w:rPr>
              <w:t>0.6m/min</w:t>
            </w:r>
            <w:r>
              <w:rPr>
                <w:rFonts w:hint="eastAsia"/>
                <w:sz w:val="24"/>
              </w:rPr>
              <w:t>，</w:t>
            </w:r>
            <w:r>
              <w:rPr>
                <w:rFonts w:hint="eastAsia"/>
                <w:bCs/>
                <w:sz w:val="24"/>
              </w:rPr>
              <w:t>过滤面积</w:t>
            </w:r>
            <w:r>
              <w:rPr>
                <w:bCs/>
                <w:sz w:val="24"/>
              </w:rPr>
              <w:t>240m</w:t>
            </w:r>
            <w:r>
              <w:rPr>
                <w:bCs/>
                <w:sz w:val="24"/>
                <w:vertAlign w:val="superscript"/>
              </w:rPr>
              <w:t>2</w:t>
            </w:r>
            <w:r>
              <w:rPr>
                <w:rFonts w:hint="eastAsia"/>
                <w:bCs/>
                <w:sz w:val="24"/>
              </w:rPr>
              <w:t>，采用覆膜布袋。废气经处理后由</w:t>
            </w:r>
            <w:r>
              <w:rPr>
                <w:bCs/>
                <w:sz w:val="24"/>
              </w:rPr>
              <w:t>18m</w:t>
            </w:r>
            <w:r>
              <w:rPr>
                <w:rFonts w:hint="eastAsia"/>
                <w:bCs/>
                <w:sz w:val="24"/>
              </w:rPr>
              <w:t>高排气筒（</w:t>
            </w:r>
            <w:r>
              <w:rPr>
                <w:bCs/>
                <w:sz w:val="24"/>
              </w:rPr>
              <w:t>DA00</w:t>
            </w:r>
            <w:r>
              <w:rPr>
                <w:rFonts w:hint="eastAsia"/>
                <w:bCs/>
                <w:sz w:val="24"/>
              </w:rPr>
              <w:t>2）排放。</w:t>
            </w:r>
          </w:p>
          <w:p w14:paraId="1BD50CDD">
            <w:pPr>
              <w:adjustRightInd w:val="0"/>
              <w:snapToGrid w:val="0"/>
              <w:spacing w:line="360" w:lineRule="auto"/>
              <w:ind w:firstLine="480" w:firstLineChars="200"/>
              <w:rPr>
                <w:bCs/>
                <w:sz w:val="24"/>
              </w:rPr>
            </w:pPr>
            <w:r>
              <w:rPr>
                <w:rFonts w:hint="eastAsia"/>
                <w:bCs/>
                <w:sz w:val="24"/>
              </w:rPr>
              <w:t>粉尘产污系数根据《</w:t>
            </w:r>
            <w:r>
              <w:rPr>
                <w:bCs/>
                <w:sz w:val="24"/>
              </w:rPr>
              <w:t>3021</w:t>
            </w:r>
            <w:r>
              <w:rPr>
                <w:rFonts w:hint="eastAsia"/>
                <w:bCs/>
                <w:sz w:val="24"/>
              </w:rPr>
              <w:t>水泥制品制造（含</w:t>
            </w:r>
            <w:r>
              <w:rPr>
                <w:bCs/>
                <w:sz w:val="24"/>
              </w:rPr>
              <w:t>3022</w:t>
            </w:r>
            <w:r>
              <w:rPr>
                <w:rFonts w:hint="eastAsia"/>
                <w:bCs/>
                <w:sz w:val="24"/>
              </w:rPr>
              <w:t>砼结构构件制造、</w:t>
            </w:r>
            <w:r>
              <w:rPr>
                <w:bCs/>
                <w:sz w:val="24"/>
              </w:rPr>
              <w:t>3029</w:t>
            </w:r>
            <w:r>
              <w:rPr>
                <w:rFonts w:hint="eastAsia"/>
                <w:bCs/>
                <w:sz w:val="24"/>
              </w:rPr>
              <w:t>其他水泥类似制品制造）行业系数手册》物料混合搅拌粉尘产污系数为</w:t>
            </w:r>
            <w:r>
              <w:rPr>
                <w:bCs/>
                <w:sz w:val="24"/>
              </w:rPr>
              <w:t>0.13kg/t-</w:t>
            </w:r>
            <w:r>
              <w:rPr>
                <w:rFonts w:hint="eastAsia"/>
                <w:bCs/>
                <w:sz w:val="24"/>
              </w:rPr>
              <w:t>产品，本项目全年生产干粉砂浆2</w:t>
            </w:r>
            <w:r>
              <w:rPr>
                <w:bCs/>
                <w:sz w:val="24"/>
              </w:rPr>
              <w:t>00000t</w:t>
            </w:r>
            <w:r>
              <w:rPr>
                <w:rFonts w:hint="eastAsia"/>
                <w:bCs/>
                <w:sz w:val="24"/>
              </w:rPr>
              <w:t>，粉尘产生量为26</w:t>
            </w:r>
            <w:r>
              <w:rPr>
                <w:bCs/>
                <w:sz w:val="24"/>
              </w:rPr>
              <w:t>t/a</w:t>
            </w:r>
            <w:r>
              <w:rPr>
                <w:rFonts w:hint="eastAsia"/>
                <w:bCs/>
                <w:sz w:val="24"/>
              </w:rPr>
              <w:t>。</w:t>
            </w:r>
          </w:p>
          <w:p w14:paraId="575B443D">
            <w:pPr>
              <w:adjustRightInd w:val="0"/>
              <w:snapToGrid w:val="0"/>
              <w:spacing w:line="360" w:lineRule="auto"/>
              <w:ind w:firstLine="480" w:firstLineChars="200"/>
              <w:rPr>
                <w:b/>
                <w:sz w:val="24"/>
                <w:lang w:val="pt-BR"/>
              </w:rPr>
            </w:pPr>
            <w:r>
              <w:rPr>
                <w:rFonts w:hint="eastAsia"/>
                <w:bCs/>
                <w:sz w:val="24"/>
              </w:rPr>
              <w:t>主楼除尘器的设计最大风量为</w:t>
            </w:r>
            <w:r>
              <w:rPr>
                <w:bCs/>
                <w:sz w:val="24"/>
              </w:rPr>
              <w:t>8640m</w:t>
            </w:r>
            <w:r>
              <w:rPr>
                <w:bCs/>
                <w:sz w:val="24"/>
                <w:vertAlign w:val="superscript"/>
              </w:rPr>
              <w:t>3</w:t>
            </w:r>
            <w:r>
              <w:rPr>
                <w:bCs/>
                <w:sz w:val="24"/>
              </w:rPr>
              <w:t>/h</w:t>
            </w:r>
            <w:r>
              <w:rPr>
                <w:rFonts w:hint="eastAsia"/>
                <w:bCs/>
                <w:sz w:val="24"/>
              </w:rPr>
              <w:t>，出口颗粒物最大浓度为</w:t>
            </w:r>
            <w:r>
              <w:rPr>
                <w:bCs/>
                <w:sz w:val="24"/>
              </w:rPr>
              <w:t>10mg/m</w:t>
            </w:r>
            <w:r>
              <w:rPr>
                <w:bCs/>
                <w:sz w:val="24"/>
                <w:vertAlign w:val="superscript"/>
              </w:rPr>
              <w:t>3</w:t>
            </w:r>
            <w:r>
              <w:rPr>
                <w:rFonts w:hint="eastAsia"/>
                <w:bCs/>
                <w:sz w:val="24"/>
              </w:rPr>
              <w:t>，运行时间为</w:t>
            </w:r>
            <w:r>
              <w:rPr>
                <w:bCs/>
                <w:sz w:val="24"/>
              </w:rPr>
              <w:t>2400h/a</w:t>
            </w:r>
            <w:r>
              <w:rPr>
                <w:rFonts w:hint="eastAsia"/>
                <w:bCs/>
                <w:sz w:val="24"/>
              </w:rPr>
              <w:t>，经计算颗粒物最大排放量为</w:t>
            </w:r>
            <w:r>
              <w:rPr>
                <w:bCs/>
                <w:sz w:val="24"/>
              </w:rPr>
              <w:t>0.</w:t>
            </w:r>
            <w:r>
              <w:rPr>
                <w:rFonts w:hint="eastAsia"/>
                <w:bCs/>
                <w:sz w:val="24"/>
              </w:rPr>
              <w:t>207</w:t>
            </w:r>
            <w:r>
              <w:rPr>
                <w:bCs/>
                <w:sz w:val="24"/>
              </w:rPr>
              <w:t>t/a</w:t>
            </w:r>
            <w:r>
              <w:rPr>
                <w:rFonts w:hint="eastAsia"/>
                <w:bCs/>
                <w:sz w:val="24"/>
              </w:rPr>
              <w:t>，除尘效率为</w:t>
            </w:r>
            <w:r>
              <w:rPr>
                <w:bCs/>
                <w:sz w:val="24"/>
              </w:rPr>
              <w:t>99.2%</w:t>
            </w:r>
            <w:r>
              <w:rPr>
                <w:rFonts w:hint="eastAsia"/>
                <w:bCs/>
                <w:sz w:val="24"/>
              </w:rPr>
              <w:t>。</w:t>
            </w:r>
          </w:p>
          <w:p w14:paraId="6355BCB6">
            <w:pPr>
              <w:adjustRightInd w:val="0"/>
              <w:snapToGrid w:val="0"/>
              <w:spacing w:line="360" w:lineRule="auto"/>
              <w:ind w:firstLine="482" w:firstLineChars="200"/>
              <w:rPr>
                <w:b/>
                <w:sz w:val="24"/>
                <w:lang w:val="pt-BR"/>
              </w:rPr>
            </w:pPr>
            <w:r>
              <w:rPr>
                <w:rFonts w:hint="eastAsia"/>
                <w:b/>
                <w:sz w:val="24"/>
                <w:lang w:val="pt-BR"/>
              </w:rPr>
              <w:t>（6）粉仓上料粉尘</w:t>
            </w:r>
          </w:p>
          <w:p w14:paraId="6B35892D">
            <w:pPr>
              <w:adjustRightInd w:val="0"/>
              <w:snapToGrid w:val="0"/>
              <w:spacing w:line="360" w:lineRule="auto"/>
              <w:ind w:firstLine="480" w:firstLineChars="200"/>
              <w:rPr>
                <w:bCs/>
                <w:sz w:val="24"/>
                <w:lang w:val="pt-BR"/>
              </w:rPr>
            </w:pPr>
            <w:r>
              <w:rPr>
                <w:rFonts w:hint="eastAsia" w:ascii="宋体" w:hAnsi="宋体"/>
                <w:bCs/>
                <w:sz w:val="24"/>
                <w:lang w:val="pt-BR"/>
              </w:rPr>
              <w:t>①</w:t>
            </w:r>
            <w:r>
              <w:rPr>
                <w:bCs/>
                <w:sz w:val="24"/>
                <w:lang w:val="pt-BR"/>
              </w:rPr>
              <w:t>水泥粉仓</w:t>
            </w:r>
          </w:p>
          <w:p w14:paraId="7FDC753C">
            <w:pPr>
              <w:widowControl/>
              <w:spacing w:line="360" w:lineRule="auto"/>
              <w:ind w:firstLine="480" w:firstLineChars="200"/>
              <w:rPr>
                <w:sz w:val="24"/>
              </w:rPr>
            </w:pPr>
            <w:r>
              <w:rPr>
                <w:rFonts w:hint="eastAsia" w:ascii="宋体" w:hAnsi="宋体" w:cs="宋体"/>
                <w:color w:val="000000"/>
                <w:kern w:val="0"/>
                <w:sz w:val="24"/>
                <w:lang w:bidi="ar"/>
              </w:rPr>
              <w:t>散装水泥罐车输料系统采用气动输送系统，其输送压力为</w:t>
            </w:r>
            <w:r>
              <w:rPr>
                <w:color w:val="000000"/>
                <w:kern w:val="0"/>
                <w:sz w:val="24"/>
                <w:lang w:bidi="ar"/>
              </w:rPr>
              <w:t>2MPa</w:t>
            </w:r>
            <w:r>
              <w:rPr>
                <w:rFonts w:hint="eastAsia" w:ascii="宋体" w:hAnsi="宋体" w:cs="宋体"/>
                <w:color w:val="000000"/>
                <w:kern w:val="0"/>
                <w:sz w:val="24"/>
                <w:lang w:bidi="ar"/>
              </w:rPr>
              <w:t>，罐车可装原料约</w:t>
            </w:r>
            <w:r>
              <w:rPr>
                <w:color w:val="000000"/>
                <w:kern w:val="0"/>
                <w:sz w:val="24"/>
                <w:lang w:bidi="ar"/>
              </w:rPr>
              <w:t>36</w:t>
            </w:r>
            <w:r>
              <w:rPr>
                <w:rFonts w:hint="eastAsia" w:ascii="宋体" w:hAnsi="宋体" w:cs="宋体"/>
                <w:color w:val="000000"/>
                <w:kern w:val="0"/>
                <w:sz w:val="24"/>
                <w:lang w:bidi="ar"/>
              </w:rPr>
              <w:t>吨，灰气比为</w:t>
            </w:r>
            <w:r>
              <w:rPr>
                <w:color w:val="000000"/>
                <w:kern w:val="0"/>
                <w:sz w:val="24"/>
                <w:lang w:bidi="ar"/>
              </w:rPr>
              <w:t>30-60kg/kg</w:t>
            </w:r>
            <w:r>
              <w:rPr>
                <w:rFonts w:hint="eastAsia" w:ascii="宋体" w:hAnsi="宋体" w:cs="宋体"/>
                <w:color w:val="000000"/>
                <w:kern w:val="0"/>
                <w:sz w:val="24"/>
                <w:lang w:bidi="ar"/>
              </w:rPr>
              <w:t>，</w:t>
            </w:r>
            <w:r>
              <w:rPr>
                <w:color w:val="000000"/>
                <w:kern w:val="0"/>
                <w:sz w:val="24"/>
                <w:lang w:bidi="ar"/>
              </w:rPr>
              <w:t>1kg</w:t>
            </w:r>
            <w:r>
              <w:rPr>
                <w:rFonts w:hint="eastAsia" w:ascii="宋体" w:hAnsi="宋体" w:cs="宋体"/>
                <w:color w:val="000000"/>
                <w:kern w:val="0"/>
                <w:sz w:val="24"/>
                <w:lang w:bidi="ar"/>
              </w:rPr>
              <w:t>气体约为</w:t>
            </w:r>
            <w:r>
              <w:rPr>
                <w:color w:val="000000"/>
                <w:kern w:val="0"/>
                <w:sz w:val="24"/>
                <w:lang w:bidi="ar"/>
              </w:rPr>
              <w:t>1m</w:t>
            </w:r>
            <w:r>
              <w:rPr>
                <w:color w:val="000000"/>
                <w:kern w:val="0"/>
                <w:sz w:val="24"/>
                <w:vertAlign w:val="superscript"/>
                <w:lang w:bidi="ar"/>
              </w:rPr>
              <w:t>3</w:t>
            </w:r>
            <w:r>
              <w:rPr>
                <w:rFonts w:hint="eastAsia" w:ascii="宋体" w:hAnsi="宋体" w:cs="宋体"/>
                <w:color w:val="000000"/>
                <w:kern w:val="0"/>
                <w:sz w:val="24"/>
                <w:lang w:bidi="ar"/>
              </w:rPr>
              <w:t>气体，本次评价灰气比取</w:t>
            </w:r>
            <w:r>
              <w:rPr>
                <w:color w:val="000000"/>
                <w:kern w:val="0"/>
                <w:sz w:val="24"/>
                <w:lang w:bidi="ar"/>
              </w:rPr>
              <w:t>40kg/kg</w:t>
            </w:r>
            <w:r>
              <w:rPr>
                <w:rFonts w:hint="eastAsia" w:ascii="宋体" w:hAnsi="宋体" w:cs="宋体"/>
                <w:color w:val="000000"/>
                <w:kern w:val="0"/>
                <w:sz w:val="24"/>
                <w:lang w:bidi="ar"/>
              </w:rPr>
              <w:t>，则</w:t>
            </w:r>
            <w:r>
              <w:rPr>
                <w:color w:val="000000"/>
                <w:kern w:val="0"/>
                <w:sz w:val="24"/>
                <w:lang w:bidi="ar"/>
              </w:rPr>
              <w:t>1m</w:t>
            </w:r>
            <w:r>
              <w:rPr>
                <w:color w:val="000000"/>
                <w:kern w:val="0"/>
                <w:sz w:val="24"/>
                <w:vertAlign w:val="superscript"/>
                <w:lang w:bidi="ar"/>
              </w:rPr>
              <w:t>3</w:t>
            </w:r>
            <w:r>
              <w:rPr>
                <w:rFonts w:hint="eastAsia" w:ascii="宋体" w:hAnsi="宋体" w:cs="宋体"/>
                <w:color w:val="000000"/>
                <w:kern w:val="0"/>
                <w:sz w:val="24"/>
                <w:lang w:bidi="ar"/>
              </w:rPr>
              <w:t>气体可输送水泥</w:t>
            </w:r>
            <w:r>
              <w:rPr>
                <w:color w:val="000000"/>
                <w:kern w:val="0"/>
                <w:sz w:val="24"/>
                <w:lang w:bidi="ar"/>
              </w:rPr>
              <w:t>40kg</w:t>
            </w:r>
            <w:r>
              <w:rPr>
                <w:rFonts w:hint="eastAsia" w:ascii="宋体" w:hAnsi="宋体" w:cs="宋体"/>
                <w:color w:val="000000"/>
                <w:kern w:val="0"/>
                <w:sz w:val="24"/>
                <w:lang w:bidi="ar"/>
              </w:rPr>
              <w:t>，罐车打灰速度为</w:t>
            </w:r>
            <w:r>
              <w:rPr>
                <w:color w:val="000000"/>
                <w:kern w:val="0"/>
                <w:sz w:val="24"/>
                <w:lang w:bidi="ar"/>
              </w:rPr>
              <w:t>72t/h</w:t>
            </w:r>
            <w:r>
              <w:rPr>
                <w:rFonts w:hint="eastAsia" w:ascii="宋体" w:hAnsi="宋体" w:cs="宋体"/>
                <w:color w:val="000000"/>
                <w:kern w:val="0"/>
                <w:sz w:val="24"/>
                <w:lang w:bidi="ar"/>
              </w:rPr>
              <w:t>，卸</w:t>
            </w:r>
            <w:r>
              <w:rPr>
                <w:color w:val="000000"/>
                <w:kern w:val="0"/>
                <w:sz w:val="24"/>
                <w:lang w:bidi="ar"/>
              </w:rPr>
              <w:t>1</w:t>
            </w:r>
            <w:r>
              <w:rPr>
                <w:rFonts w:hint="eastAsia" w:ascii="宋体" w:hAnsi="宋体" w:cs="宋体"/>
                <w:color w:val="000000"/>
                <w:kern w:val="0"/>
                <w:sz w:val="24"/>
                <w:lang w:bidi="ar"/>
              </w:rPr>
              <w:t>车物料时间约为</w:t>
            </w:r>
            <w:r>
              <w:rPr>
                <w:color w:val="000000"/>
                <w:kern w:val="0"/>
                <w:sz w:val="24"/>
                <w:lang w:bidi="ar"/>
              </w:rPr>
              <w:t>30min</w:t>
            </w:r>
            <w:r>
              <w:rPr>
                <w:rFonts w:hint="eastAsia" w:ascii="宋体" w:hAnsi="宋体" w:cs="宋体"/>
                <w:color w:val="000000"/>
                <w:kern w:val="0"/>
                <w:sz w:val="24"/>
                <w:lang w:bidi="ar"/>
              </w:rPr>
              <w:t>。则水泥进料时水泥仓的进风量约为</w:t>
            </w:r>
            <w:r>
              <w:rPr>
                <w:color w:val="000000"/>
                <w:kern w:val="0"/>
                <w:sz w:val="24"/>
                <w:lang w:bidi="ar"/>
              </w:rPr>
              <w:t>1800m</w:t>
            </w:r>
            <w:r>
              <w:rPr>
                <w:color w:val="000000"/>
                <w:kern w:val="0"/>
                <w:sz w:val="24"/>
                <w:vertAlign w:val="superscript"/>
                <w:lang w:bidi="ar"/>
              </w:rPr>
              <w:t>3</w:t>
            </w:r>
            <w:r>
              <w:rPr>
                <w:color w:val="000000"/>
                <w:kern w:val="0"/>
                <w:sz w:val="24"/>
                <w:lang w:bidi="ar"/>
              </w:rPr>
              <w:t>/h</w:t>
            </w:r>
            <w:r>
              <w:rPr>
                <w:rFonts w:hint="eastAsia" w:ascii="宋体" w:hAnsi="宋体" w:cs="宋体"/>
                <w:color w:val="000000"/>
                <w:kern w:val="0"/>
                <w:sz w:val="24"/>
                <w:lang w:bidi="ar"/>
              </w:rPr>
              <w:t>。为减少筒仓内的气体压力，且确保粉尘气体通过布袋除尘器，要求布袋除尘器引风量略大于进风量，根据《逸散性工业粉尘控制技术》（美国俄亥俄州环境保护局和污染工程分公司编著）筒仓的排气速度大约为</w:t>
            </w:r>
            <w:r>
              <w:rPr>
                <w:color w:val="000000"/>
                <w:kern w:val="0"/>
                <w:sz w:val="24"/>
                <w:lang w:bidi="ar"/>
              </w:rPr>
              <w:t>0.566-0.613m</w:t>
            </w:r>
            <w:r>
              <w:rPr>
                <w:color w:val="000000"/>
                <w:kern w:val="0"/>
                <w:sz w:val="24"/>
                <w:vertAlign w:val="superscript"/>
                <w:lang w:bidi="ar"/>
              </w:rPr>
              <w:t>3</w:t>
            </w:r>
            <w:r>
              <w:rPr>
                <w:color w:val="000000"/>
                <w:kern w:val="0"/>
                <w:sz w:val="24"/>
                <w:lang w:bidi="ar"/>
              </w:rPr>
              <w:t>/s</w:t>
            </w:r>
            <w:r>
              <w:rPr>
                <w:rFonts w:hint="eastAsia" w:ascii="宋体" w:hAnsi="宋体" w:cs="宋体"/>
                <w:color w:val="000000"/>
                <w:kern w:val="0"/>
                <w:sz w:val="24"/>
                <w:lang w:bidi="ar"/>
              </w:rPr>
              <w:t>，即引风量要求为</w:t>
            </w:r>
            <w:r>
              <w:rPr>
                <w:color w:val="000000"/>
                <w:kern w:val="0"/>
                <w:sz w:val="24"/>
                <w:lang w:bidi="ar"/>
              </w:rPr>
              <w:t>2038—2207m</w:t>
            </w:r>
            <w:r>
              <w:rPr>
                <w:color w:val="000000"/>
                <w:kern w:val="0"/>
                <w:sz w:val="24"/>
                <w:vertAlign w:val="superscript"/>
                <w:lang w:bidi="ar"/>
              </w:rPr>
              <w:t>3</w:t>
            </w:r>
            <w:r>
              <w:rPr>
                <w:color w:val="000000"/>
                <w:kern w:val="0"/>
                <w:sz w:val="24"/>
                <w:lang w:bidi="ar"/>
              </w:rPr>
              <w:t>/s</w:t>
            </w:r>
            <w:r>
              <w:rPr>
                <w:rFonts w:hint="eastAsia" w:ascii="宋体" w:hAnsi="宋体" w:cs="宋体"/>
                <w:color w:val="000000"/>
                <w:kern w:val="0"/>
                <w:sz w:val="24"/>
                <w:lang w:bidi="ar"/>
              </w:rPr>
              <w:t>，故布袋除尘器风量设为</w:t>
            </w:r>
            <w:r>
              <w:rPr>
                <w:color w:val="000000"/>
                <w:kern w:val="0"/>
                <w:sz w:val="24"/>
                <w:lang w:bidi="ar"/>
              </w:rPr>
              <w:t>2100m</w:t>
            </w:r>
            <w:r>
              <w:rPr>
                <w:color w:val="000000"/>
                <w:kern w:val="0"/>
                <w:sz w:val="24"/>
                <w:vertAlign w:val="superscript"/>
                <w:lang w:bidi="ar"/>
              </w:rPr>
              <w:t>3</w:t>
            </w:r>
            <w:r>
              <w:rPr>
                <w:color w:val="000000"/>
                <w:kern w:val="0"/>
                <w:sz w:val="24"/>
                <w:lang w:bidi="ar"/>
              </w:rPr>
              <w:t>/h</w:t>
            </w:r>
            <w:r>
              <w:rPr>
                <w:rFonts w:hint="eastAsia" w:ascii="宋体" w:hAnsi="宋体" w:cs="宋体"/>
                <w:color w:val="000000"/>
                <w:kern w:val="0"/>
                <w:sz w:val="24"/>
                <w:lang w:bidi="ar"/>
              </w:rPr>
              <w:t>即可满足要求。</w:t>
            </w:r>
          </w:p>
          <w:p w14:paraId="478A8298">
            <w:pPr>
              <w:widowControl/>
              <w:spacing w:line="360" w:lineRule="auto"/>
              <w:ind w:firstLine="480" w:firstLineChars="200"/>
              <w:rPr>
                <w:sz w:val="24"/>
              </w:rPr>
            </w:pPr>
            <w:r>
              <w:rPr>
                <w:rFonts w:hint="eastAsia" w:ascii="宋体" w:hAnsi="宋体" w:cs="宋体"/>
                <w:color w:val="000000"/>
                <w:kern w:val="0"/>
                <w:sz w:val="24"/>
                <w:lang w:bidi="ar"/>
              </w:rPr>
              <w:t>水泥仓工作周期：项目消耗水泥</w:t>
            </w:r>
            <w:r>
              <w:rPr>
                <w:rFonts w:hint="eastAsia"/>
                <w:color w:val="000000"/>
                <w:kern w:val="0"/>
                <w:sz w:val="24"/>
                <w:lang w:bidi="ar"/>
              </w:rPr>
              <w:t>25911</w:t>
            </w:r>
            <w:r>
              <w:rPr>
                <w:color w:val="000000"/>
                <w:kern w:val="0"/>
                <w:sz w:val="24"/>
                <w:lang w:bidi="ar"/>
              </w:rPr>
              <w:t>t/a</w:t>
            </w:r>
            <w:r>
              <w:rPr>
                <w:rFonts w:hint="eastAsia" w:ascii="宋体" w:hAnsi="宋体" w:cs="宋体"/>
                <w:color w:val="000000"/>
                <w:kern w:val="0"/>
                <w:sz w:val="24"/>
                <w:lang w:bidi="ar"/>
              </w:rPr>
              <w:t>，每个水泥筒仓存储的水泥量为</w:t>
            </w:r>
            <w:r>
              <w:rPr>
                <w:rFonts w:hint="eastAsia"/>
                <w:color w:val="000000"/>
                <w:kern w:val="0"/>
                <w:sz w:val="24"/>
                <w:lang w:bidi="ar"/>
              </w:rPr>
              <w:t>25911</w:t>
            </w:r>
            <w:r>
              <w:rPr>
                <w:color w:val="000000"/>
                <w:kern w:val="0"/>
                <w:sz w:val="24"/>
                <w:lang w:bidi="ar"/>
              </w:rPr>
              <w:t>t/a÷2=</w:t>
            </w:r>
            <w:r>
              <w:rPr>
                <w:rFonts w:hint="eastAsia"/>
                <w:color w:val="000000"/>
                <w:kern w:val="0"/>
                <w:sz w:val="24"/>
                <w:lang w:bidi="ar"/>
              </w:rPr>
              <w:t>12955.5</w:t>
            </w:r>
            <w:r>
              <w:rPr>
                <w:color w:val="000000"/>
                <w:kern w:val="0"/>
                <w:sz w:val="24"/>
                <w:lang w:bidi="ar"/>
              </w:rPr>
              <w:t>t/a</w:t>
            </w:r>
            <w:r>
              <w:rPr>
                <w:rFonts w:hint="eastAsia" w:ascii="宋体" w:hAnsi="宋体" w:cs="宋体"/>
                <w:color w:val="000000"/>
                <w:kern w:val="0"/>
                <w:sz w:val="24"/>
                <w:lang w:bidi="ar"/>
              </w:rPr>
              <w:t>；经计算每个水泥仓的加料时间为</w:t>
            </w:r>
            <w:r>
              <w:rPr>
                <w:rFonts w:hint="eastAsia"/>
                <w:color w:val="000000"/>
                <w:kern w:val="0"/>
                <w:sz w:val="24"/>
                <w:lang w:bidi="ar"/>
              </w:rPr>
              <w:t>179.94</w:t>
            </w:r>
            <w:r>
              <w:rPr>
                <w:color w:val="000000"/>
                <w:kern w:val="0"/>
                <w:sz w:val="24"/>
                <w:lang w:bidi="ar"/>
              </w:rPr>
              <w:t>h/a</w:t>
            </w:r>
            <w:r>
              <w:rPr>
                <w:rFonts w:hint="eastAsia" w:ascii="宋体" w:hAnsi="宋体" w:cs="宋体"/>
                <w:color w:val="000000"/>
                <w:kern w:val="0"/>
                <w:sz w:val="24"/>
                <w:lang w:bidi="ar"/>
              </w:rPr>
              <w:t>。</w:t>
            </w:r>
          </w:p>
          <w:p w14:paraId="27C0EE8A">
            <w:pPr>
              <w:adjustRightInd w:val="0"/>
              <w:snapToGrid w:val="0"/>
              <w:spacing w:line="360" w:lineRule="auto"/>
              <w:ind w:firstLine="480" w:firstLineChars="200"/>
              <w:rPr>
                <w:bCs/>
                <w:sz w:val="24"/>
              </w:rPr>
            </w:pPr>
            <w:r>
              <w:rPr>
                <w:rFonts w:hint="eastAsia"/>
                <w:bCs/>
                <w:sz w:val="24"/>
              </w:rPr>
              <w:t>本项目建设有2座水泥粉仓，每座粉仓仓顶均配套有仓顶除尘器，上料时呼吸作用产生的上料粉尘经仓顶除尘器处理后排放。仓顶除尘器的设计风量2100</w:t>
            </w:r>
            <w:r>
              <w:rPr>
                <w:bCs/>
                <w:sz w:val="24"/>
              </w:rPr>
              <w:t>m</w:t>
            </w:r>
            <w:r>
              <w:rPr>
                <w:bCs/>
                <w:sz w:val="24"/>
                <w:vertAlign w:val="superscript"/>
              </w:rPr>
              <w:t>3</w:t>
            </w:r>
            <w:r>
              <w:rPr>
                <w:rFonts w:hint="eastAsia"/>
                <w:bCs/>
                <w:sz w:val="24"/>
              </w:rPr>
              <w:t>/h，出口含尘气体浓度小于10mg/m</w:t>
            </w:r>
            <w:r>
              <w:rPr>
                <w:rFonts w:hint="eastAsia"/>
                <w:bCs/>
                <w:sz w:val="24"/>
                <w:vertAlign w:val="superscript"/>
              </w:rPr>
              <w:t>3</w:t>
            </w:r>
            <w:r>
              <w:rPr>
                <w:rFonts w:hint="eastAsia"/>
                <w:bCs/>
                <w:sz w:val="24"/>
              </w:rPr>
              <w:t>，</w:t>
            </w:r>
            <w:r>
              <w:rPr>
                <w:sz w:val="24"/>
              </w:rPr>
              <w:t>滤袋过滤风速0.6m/min</w:t>
            </w:r>
            <w:r>
              <w:rPr>
                <w:rFonts w:hint="eastAsia"/>
                <w:sz w:val="24"/>
              </w:rPr>
              <w:t>，</w:t>
            </w:r>
            <w:r>
              <w:rPr>
                <w:rFonts w:hint="eastAsia"/>
                <w:bCs/>
                <w:sz w:val="24"/>
              </w:rPr>
              <w:t>过滤面积58.4m</w:t>
            </w:r>
            <w:r>
              <w:rPr>
                <w:rFonts w:hint="eastAsia"/>
                <w:bCs/>
                <w:sz w:val="24"/>
                <w:vertAlign w:val="superscript"/>
              </w:rPr>
              <w:t>2</w:t>
            </w:r>
            <w:r>
              <w:rPr>
                <w:rFonts w:hint="eastAsia"/>
                <w:bCs/>
                <w:sz w:val="24"/>
              </w:rPr>
              <w:t>，采用覆膜布袋。废气经处理后由29m高排气筒（DA003）（</w:t>
            </w:r>
            <w:r>
              <w:rPr>
                <w:bCs/>
                <w:sz w:val="24"/>
              </w:rPr>
              <w:t>DA00</w:t>
            </w:r>
            <w:r>
              <w:rPr>
                <w:rFonts w:hint="eastAsia"/>
                <w:bCs/>
                <w:sz w:val="24"/>
              </w:rPr>
              <w:t>4）排放。</w:t>
            </w:r>
          </w:p>
          <w:p w14:paraId="2F8BFE7F">
            <w:pPr>
              <w:adjustRightInd w:val="0"/>
              <w:snapToGrid w:val="0"/>
              <w:spacing w:line="360" w:lineRule="auto"/>
              <w:ind w:firstLine="480" w:firstLineChars="200"/>
              <w:rPr>
                <w:bCs/>
                <w:sz w:val="24"/>
              </w:rPr>
            </w:pPr>
            <w:r>
              <w:rPr>
                <w:rFonts w:hint="eastAsia"/>
                <w:bCs/>
                <w:sz w:val="24"/>
              </w:rPr>
              <w:t>参照《空气污染排放和控制手册》（美国环境保护局编著，张良壁等译，中国环境科学出版社）中的“十 混凝土配料”推荐的混凝土配料工艺潜在的逸散排放因子的排放等级，并出于保守考虑，选取</w:t>
            </w:r>
            <w:r>
              <w:rPr>
                <w:bCs/>
                <w:sz w:val="24"/>
              </w:rPr>
              <w:t>0.11kg/t</w:t>
            </w:r>
            <w:r>
              <w:rPr>
                <w:rFonts w:hint="eastAsia"/>
                <w:bCs/>
                <w:sz w:val="24"/>
              </w:rPr>
              <w:t>物料。本项目水泥使用量25911</w:t>
            </w:r>
            <w:r>
              <w:rPr>
                <w:bCs/>
                <w:sz w:val="24"/>
              </w:rPr>
              <w:t>t/a</w:t>
            </w:r>
            <w:r>
              <w:rPr>
                <w:rFonts w:hint="eastAsia"/>
                <w:bCs/>
                <w:sz w:val="24"/>
              </w:rPr>
              <w:t>，粉尘产生量为2.849</w:t>
            </w:r>
            <w:r>
              <w:rPr>
                <w:bCs/>
                <w:sz w:val="24"/>
              </w:rPr>
              <w:t>t/a</w:t>
            </w:r>
            <w:r>
              <w:rPr>
                <w:rFonts w:hint="eastAsia"/>
                <w:bCs/>
                <w:sz w:val="24"/>
              </w:rPr>
              <w:t>。</w:t>
            </w:r>
          </w:p>
          <w:p w14:paraId="28AF2A3A">
            <w:pPr>
              <w:adjustRightInd w:val="0"/>
              <w:snapToGrid w:val="0"/>
              <w:spacing w:line="360" w:lineRule="auto"/>
              <w:ind w:firstLine="480" w:firstLineChars="200"/>
              <w:rPr>
                <w:bCs/>
                <w:sz w:val="24"/>
                <w:lang w:val="pt-BR"/>
              </w:rPr>
            </w:pPr>
            <w:r>
              <w:rPr>
                <w:rFonts w:hint="eastAsia"/>
                <w:bCs/>
                <w:sz w:val="24"/>
              </w:rPr>
              <w:t>仓顶除尘器的设计最大风量为2100m</w:t>
            </w:r>
            <w:r>
              <w:rPr>
                <w:rFonts w:hint="eastAsia"/>
                <w:bCs/>
                <w:sz w:val="24"/>
                <w:vertAlign w:val="superscript"/>
              </w:rPr>
              <w:t>3</w:t>
            </w:r>
            <w:r>
              <w:rPr>
                <w:rFonts w:hint="eastAsia"/>
                <w:bCs/>
                <w:sz w:val="24"/>
              </w:rPr>
              <w:t>/h，出口颗粒物最大浓度为10mg/m</w:t>
            </w:r>
            <w:r>
              <w:rPr>
                <w:rFonts w:hint="eastAsia"/>
                <w:bCs/>
                <w:sz w:val="24"/>
                <w:vertAlign w:val="superscript"/>
              </w:rPr>
              <w:t>3</w:t>
            </w:r>
            <w:r>
              <w:rPr>
                <w:rFonts w:hint="eastAsia"/>
                <w:bCs/>
                <w:sz w:val="24"/>
              </w:rPr>
              <w:t>，运行时间共为359.88h/a，经计算颗粒物最大排放量为0.0076t/a，除尘效率为99.7%。</w:t>
            </w:r>
          </w:p>
          <w:p w14:paraId="62F3AF9C">
            <w:pPr>
              <w:adjustRightInd w:val="0"/>
              <w:snapToGrid w:val="0"/>
              <w:spacing w:line="360" w:lineRule="auto"/>
              <w:ind w:firstLine="480" w:firstLineChars="200"/>
              <w:rPr>
                <w:bCs/>
                <w:sz w:val="24"/>
                <w:lang w:val="pt-BR"/>
              </w:rPr>
            </w:pPr>
            <w:r>
              <w:rPr>
                <w:rFonts w:hint="eastAsia" w:ascii="宋体" w:hAnsi="宋体"/>
                <w:bCs/>
                <w:sz w:val="24"/>
                <w:lang w:val="pt-BR"/>
              </w:rPr>
              <w:t>②</w:t>
            </w:r>
            <w:r>
              <w:rPr>
                <w:rFonts w:hint="eastAsia"/>
                <w:bCs/>
                <w:sz w:val="24"/>
                <w:lang w:val="pt-BR"/>
              </w:rPr>
              <w:t>粉煤灰仓</w:t>
            </w:r>
          </w:p>
          <w:p w14:paraId="39A4EAE2">
            <w:pPr>
              <w:widowControl/>
              <w:spacing w:line="360" w:lineRule="auto"/>
              <w:ind w:firstLine="480" w:firstLineChars="200"/>
              <w:rPr>
                <w:sz w:val="24"/>
              </w:rPr>
            </w:pPr>
            <w:r>
              <w:rPr>
                <w:rFonts w:hint="eastAsia" w:ascii="宋体" w:hAnsi="宋体" w:cs="宋体"/>
                <w:color w:val="000000"/>
                <w:kern w:val="0"/>
                <w:sz w:val="24"/>
                <w:lang w:bidi="ar"/>
              </w:rPr>
              <w:t>散装粉煤灰罐车输料系统采用气动输送系统，其输送压力为</w:t>
            </w:r>
            <w:r>
              <w:rPr>
                <w:color w:val="000000"/>
                <w:kern w:val="0"/>
                <w:sz w:val="24"/>
                <w:lang w:bidi="ar"/>
              </w:rPr>
              <w:t>2MPa</w:t>
            </w:r>
            <w:r>
              <w:rPr>
                <w:rFonts w:hint="eastAsia" w:ascii="宋体" w:hAnsi="宋体" w:cs="宋体"/>
                <w:color w:val="000000"/>
                <w:kern w:val="0"/>
                <w:sz w:val="24"/>
                <w:lang w:bidi="ar"/>
              </w:rPr>
              <w:t>，罐车可装原料约</w:t>
            </w:r>
            <w:r>
              <w:rPr>
                <w:color w:val="000000"/>
                <w:kern w:val="0"/>
                <w:sz w:val="24"/>
                <w:lang w:bidi="ar"/>
              </w:rPr>
              <w:t>36</w:t>
            </w:r>
            <w:r>
              <w:rPr>
                <w:rFonts w:hint="eastAsia" w:ascii="宋体" w:hAnsi="宋体" w:cs="宋体"/>
                <w:color w:val="000000"/>
                <w:kern w:val="0"/>
                <w:sz w:val="24"/>
                <w:lang w:bidi="ar"/>
              </w:rPr>
              <w:t>吨，灰气比为</w:t>
            </w:r>
            <w:r>
              <w:rPr>
                <w:color w:val="000000"/>
                <w:kern w:val="0"/>
                <w:sz w:val="24"/>
                <w:lang w:bidi="ar"/>
              </w:rPr>
              <w:t>30-60kg/kg</w:t>
            </w:r>
            <w:r>
              <w:rPr>
                <w:rFonts w:hint="eastAsia" w:ascii="宋体" w:hAnsi="宋体" w:cs="宋体"/>
                <w:color w:val="000000"/>
                <w:kern w:val="0"/>
                <w:sz w:val="24"/>
                <w:lang w:bidi="ar"/>
              </w:rPr>
              <w:t>，</w:t>
            </w:r>
            <w:r>
              <w:rPr>
                <w:color w:val="000000"/>
                <w:kern w:val="0"/>
                <w:sz w:val="24"/>
                <w:lang w:bidi="ar"/>
              </w:rPr>
              <w:t>1kg</w:t>
            </w:r>
            <w:r>
              <w:rPr>
                <w:rFonts w:hint="eastAsia" w:ascii="宋体" w:hAnsi="宋体" w:cs="宋体"/>
                <w:color w:val="000000"/>
                <w:kern w:val="0"/>
                <w:sz w:val="24"/>
                <w:lang w:bidi="ar"/>
              </w:rPr>
              <w:t>气体约为</w:t>
            </w:r>
            <w:r>
              <w:rPr>
                <w:color w:val="000000"/>
                <w:kern w:val="0"/>
                <w:sz w:val="24"/>
                <w:lang w:bidi="ar"/>
              </w:rPr>
              <w:t>1m</w:t>
            </w:r>
            <w:r>
              <w:rPr>
                <w:color w:val="000000"/>
                <w:kern w:val="0"/>
                <w:sz w:val="24"/>
                <w:vertAlign w:val="superscript"/>
                <w:lang w:bidi="ar"/>
              </w:rPr>
              <w:t>3</w:t>
            </w:r>
            <w:r>
              <w:rPr>
                <w:rFonts w:hint="eastAsia" w:ascii="宋体" w:hAnsi="宋体" w:cs="宋体"/>
                <w:color w:val="000000"/>
                <w:kern w:val="0"/>
                <w:sz w:val="24"/>
                <w:lang w:bidi="ar"/>
              </w:rPr>
              <w:t>气体，本次评价灰气比取</w:t>
            </w:r>
            <w:r>
              <w:rPr>
                <w:color w:val="000000"/>
                <w:kern w:val="0"/>
                <w:sz w:val="24"/>
                <w:lang w:bidi="ar"/>
              </w:rPr>
              <w:t>40kg/kg</w:t>
            </w:r>
            <w:r>
              <w:rPr>
                <w:rFonts w:hint="eastAsia" w:ascii="宋体" w:hAnsi="宋体" w:cs="宋体"/>
                <w:color w:val="000000"/>
                <w:kern w:val="0"/>
                <w:sz w:val="24"/>
                <w:lang w:bidi="ar"/>
              </w:rPr>
              <w:t>，则</w:t>
            </w:r>
            <w:r>
              <w:rPr>
                <w:color w:val="000000"/>
                <w:kern w:val="0"/>
                <w:sz w:val="24"/>
                <w:lang w:bidi="ar"/>
              </w:rPr>
              <w:t>1m</w:t>
            </w:r>
            <w:r>
              <w:rPr>
                <w:color w:val="000000"/>
                <w:kern w:val="0"/>
                <w:sz w:val="24"/>
                <w:vertAlign w:val="superscript"/>
                <w:lang w:bidi="ar"/>
              </w:rPr>
              <w:t>3</w:t>
            </w:r>
            <w:r>
              <w:rPr>
                <w:rFonts w:hint="eastAsia" w:ascii="宋体" w:hAnsi="宋体" w:cs="宋体"/>
                <w:color w:val="000000"/>
                <w:kern w:val="0"/>
                <w:sz w:val="24"/>
                <w:lang w:bidi="ar"/>
              </w:rPr>
              <w:t>气体可输送粉煤灰</w:t>
            </w:r>
            <w:r>
              <w:rPr>
                <w:color w:val="000000"/>
                <w:kern w:val="0"/>
                <w:sz w:val="24"/>
                <w:lang w:bidi="ar"/>
              </w:rPr>
              <w:t>40kg</w:t>
            </w:r>
            <w:r>
              <w:rPr>
                <w:rFonts w:hint="eastAsia" w:ascii="宋体" w:hAnsi="宋体" w:cs="宋体"/>
                <w:color w:val="000000"/>
                <w:kern w:val="0"/>
                <w:sz w:val="24"/>
                <w:lang w:bidi="ar"/>
              </w:rPr>
              <w:t>，罐车打灰速度为</w:t>
            </w:r>
            <w:r>
              <w:rPr>
                <w:color w:val="000000"/>
                <w:kern w:val="0"/>
                <w:sz w:val="24"/>
                <w:lang w:bidi="ar"/>
              </w:rPr>
              <w:t>72t/h</w:t>
            </w:r>
            <w:r>
              <w:rPr>
                <w:rFonts w:hint="eastAsia" w:ascii="宋体" w:hAnsi="宋体" w:cs="宋体"/>
                <w:color w:val="000000"/>
                <w:kern w:val="0"/>
                <w:sz w:val="24"/>
                <w:lang w:bidi="ar"/>
              </w:rPr>
              <w:t>，卸</w:t>
            </w:r>
            <w:r>
              <w:rPr>
                <w:color w:val="000000"/>
                <w:kern w:val="0"/>
                <w:sz w:val="24"/>
                <w:lang w:bidi="ar"/>
              </w:rPr>
              <w:t>1</w:t>
            </w:r>
            <w:r>
              <w:rPr>
                <w:rFonts w:hint="eastAsia" w:ascii="宋体" w:hAnsi="宋体" w:cs="宋体"/>
                <w:color w:val="000000"/>
                <w:kern w:val="0"/>
                <w:sz w:val="24"/>
                <w:lang w:bidi="ar"/>
              </w:rPr>
              <w:t>车物料时间约为</w:t>
            </w:r>
            <w:r>
              <w:rPr>
                <w:color w:val="000000"/>
                <w:kern w:val="0"/>
                <w:sz w:val="24"/>
                <w:lang w:bidi="ar"/>
              </w:rPr>
              <w:t>30min</w:t>
            </w:r>
            <w:r>
              <w:rPr>
                <w:rFonts w:hint="eastAsia" w:ascii="宋体" w:hAnsi="宋体" w:cs="宋体"/>
                <w:color w:val="000000"/>
                <w:kern w:val="0"/>
                <w:sz w:val="24"/>
                <w:lang w:bidi="ar"/>
              </w:rPr>
              <w:t>。则水泥进料时水泥仓的进风量约为</w:t>
            </w:r>
            <w:r>
              <w:rPr>
                <w:color w:val="000000"/>
                <w:kern w:val="0"/>
                <w:sz w:val="24"/>
                <w:lang w:bidi="ar"/>
              </w:rPr>
              <w:t>1800m</w:t>
            </w:r>
            <w:r>
              <w:rPr>
                <w:color w:val="000000"/>
                <w:kern w:val="0"/>
                <w:sz w:val="24"/>
                <w:vertAlign w:val="superscript"/>
                <w:lang w:bidi="ar"/>
              </w:rPr>
              <w:t>3</w:t>
            </w:r>
            <w:r>
              <w:rPr>
                <w:color w:val="000000"/>
                <w:kern w:val="0"/>
                <w:sz w:val="24"/>
                <w:lang w:bidi="ar"/>
              </w:rPr>
              <w:t>/h</w:t>
            </w:r>
            <w:r>
              <w:rPr>
                <w:rFonts w:hint="eastAsia" w:ascii="宋体" w:hAnsi="宋体" w:cs="宋体"/>
                <w:color w:val="000000"/>
                <w:kern w:val="0"/>
                <w:sz w:val="24"/>
                <w:lang w:bidi="ar"/>
              </w:rPr>
              <w:t>。为减少筒仓内的气体压力，且确保粉尘气体通过布袋除尘器，要求布袋除尘器引风量略大于进风量，根据《逸散性工业粉尘控制技术》（美国俄亥俄州环境保护局和污染工程分公司编著）筒仓的排气速度大约为</w:t>
            </w:r>
            <w:r>
              <w:rPr>
                <w:color w:val="000000"/>
                <w:kern w:val="0"/>
                <w:sz w:val="24"/>
                <w:lang w:bidi="ar"/>
              </w:rPr>
              <w:t>0.566-0.613m</w:t>
            </w:r>
            <w:r>
              <w:rPr>
                <w:color w:val="000000"/>
                <w:kern w:val="0"/>
                <w:sz w:val="24"/>
                <w:vertAlign w:val="superscript"/>
                <w:lang w:bidi="ar"/>
              </w:rPr>
              <w:t>3</w:t>
            </w:r>
            <w:r>
              <w:rPr>
                <w:color w:val="000000"/>
                <w:kern w:val="0"/>
                <w:sz w:val="24"/>
                <w:lang w:bidi="ar"/>
              </w:rPr>
              <w:t>/s</w:t>
            </w:r>
            <w:r>
              <w:rPr>
                <w:rFonts w:hint="eastAsia" w:ascii="宋体" w:hAnsi="宋体" w:cs="宋体"/>
                <w:color w:val="000000"/>
                <w:kern w:val="0"/>
                <w:sz w:val="24"/>
                <w:lang w:bidi="ar"/>
              </w:rPr>
              <w:t>，即引风量要求为</w:t>
            </w:r>
            <w:r>
              <w:rPr>
                <w:color w:val="000000"/>
                <w:kern w:val="0"/>
                <w:sz w:val="24"/>
                <w:lang w:bidi="ar"/>
              </w:rPr>
              <w:t>2038—2207m</w:t>
            </w:r>
            <w:r>
              <w:rPr>
                <w:color w:val="000000"/>
                <w:kern w:val="0"/>
                <w:sz w:val="24"/>
                <w:vertAlign w:val="superscript"/>
                <w:lang w:bidi="ar"/>
              </w:rPr>
              <w:t>3</w:t>
            </w:r>
            <w:r>
              <w:rPr>
                <w:color w:val="000000"/>
                <w:kern w:val="0"/>
                <w:sz w:val="24"/>
                <w:lang w:bidi="ar"/>
              </w:rPr>
              <w:t>/s</w:t>
            </w:r>
            <w:r>
              <w:rPr>
                <w:rFonts w:hint="eastAsia" w:ascii="宋体" w:hAnsi="宋体" w:cs="宋体"/>
                <w:color w:val="000000"/>
                <w:kern w:val="0"/>
                <w:sz w:val="24"/>
                <w:lang w:bidi="ar"/>
              </w:rPr>
              <w:t>，故布袋除尘器风量设为</w:t>
            </w:r>
            <w:r>
              <w:rPr>
                <w:color w:val="000000"/>
                <w:kern w:val="0"/>
                <w:sz w:val="24"/>
                <w:lang w:bidi="ar"/>
              </w:rPr>
              <w:t>2100m</w:t>
            </w:r>
            <w:r>
              <w:rPr>
                <w:color w:val="000000"/>
                <w:kern w:val="0"/>
                <w:sz w:val="24"/>
                <w:vertAlign w:val="superscript"/>
                <w:lang w:bidi="ar"/>
              </w:rPr>
              <w:t>3</w:t>
            </w:r>
            <w:r>
              <w:rPr>
                <w:color w:val="000000"/>
                <w:kern w:val="0"/>
                <w:sz w:val="24"/>
                <w:lang w:bidi="ar"/>
              </w:rPr>
              <w:t>/h</w:t>
            </w:r>
            <w:r>
              <w:rPr>
                <w:rFonts w:hint="eastAsia" w:ascii="宋体" w:hAnsi="宋体" w:cs="宋体"/>
                <w:color w:val="000000"/>
                <w:kern w:val="0"/>
                <w:sz w:val="24"/>
                <w:lang w:bidi="ar"/>
              </w:rPr>
              <w:t xml:space="preserve">即可满足要求。 </w:t>
            </w:r>
          </w:p>
          <w:p w14:paraId="06D3B992">
            <w:pPr>
              <w:widowControl/>
              <w:spacing w:line="360" w:lineRule="auto"/>
              <w:ind w:firstLine="480" w:firstLineChars="200"/>
              <w:rPr>
                <w:sz w:val="24"/>
              </w:rPr>
            </w:pPr>
            <w:r>
              <w:rPr>
                <w:rFonts w:hint="eastAsia" w:ascii="宋体" w:hAnsi="宋体" w:cs="宋体"/>
                <w:color w:val="000000"/>
                <w:kern w:val="0"/>
                <w:sz w:val="24"/>
                <w:lang w:bidi="ar"/>
              </w:rPr>
              <w:t>粉煤灰仓工作周期：项目消耗粉煤灰</w:t>
            </w:r>
            <w:r>
              <w:rPr>
                <w:rFonts w:hint="eastAsia"/>
                <w:color w:val="000000"/>
                <w:kern w:val="0"/>
                <w:sz w:val="24"/>
                <w:lang w:bidi="ar"/>
              </w:rPr>
              <w:t>16307</w:t>
            </w:r>
            <w:r>
              <w:rPr>
                <w:color w:val="000000"/>
                <w:kern w:val="0"/>
                <w:sz w:val="24"/>
                <w:lang w:bidi="ar"/>
              </w:rPr>
              <w:t>t/a</w:t>
            </w:r>
            <w:r>
              <w:rPr>
                <w:rFonts w:hint="eastAsia" w:ascii="宋体" w:hAnsi="宋体" w:cs="宋体"/>
                <w:color w:val="000000"/>
                <w:kern w:val="0"/>
                <w:sz w:val="24"/>
                <w:lang w:bidi="ar"/>
              </w:rPr>
              <w:t>，粉煤灰筒仓存储量为</w:t>
            </w:r>
            <w:r>
              <w:rPr>
                <w:rFonts w:hint="eastAsia"/>
                <w:color w:val="000000"/>
                <w:kern w:val="0"/>
                <w:sz w:val="24"/>
                <w:lang w:bidi="ar"/>
              </w:rPr>
              <w:t>16307</w:t>
            </w:r>
            <w:r>
              <w:rPr>
                <w:color w:val="000000"/>
                <w:kern w:val="0"/>
                <w:sz w:val="24"/>
                <w:lang w:bidi="ar"/>
              </w:rPr>
              <w:t>t/a</w:t>
            </w:r>
            <w:r>
              <w:rPr>
                <w:rFonts w:hint="eastAsia" w:ascii="宋体" w:hAnsi="宋体" w:cs="宋体"/>
                <w:color w:val="000000"/>
                <w:kern w:val="0"/>
                <w:sz w:val="24"/>
                <w:lang w:bidi="ar"/>
              </w:rPr>
              <w:t>；经计算粉煤灰仓的加料时间为</w:t>
            </w:r>
            <w:r>
              <w:rPr>
                <w:rFonts w:hint="eastAsia"/>
                <w:color w:val="000000"/>
                <w:kern w:val="0"/>
                <w:sz w:val="24"/>
                <w:lang w:bidi="ar"/>
              </w:rPr>
              <w:t>226.4</w:t>
            </w:r>
            <w:r>
              <w:rPr>
                <w:color w:val="000000"/>
                <w:kern w:val="0"/>
                <w:sz w:val="24"/>
                <w:lang w:bidi="ar"/>
              </w:rPr>
              <w:t>h/a</w:t>
            </w:r>
            <w:r>
              <w:rPr>
                <w:rFonts w:hint="eastAsia" w:ascii="宋体" w:hAnsi="宋体" w:cs="宋体"/>
                <w:color w:val="000000"/>
                <w:kern w:val="0"/>
                <w:sz w:val="24"/>
                <w:lang w:bidi="ar"/>
              </w:rPr>
              <w:t>。</w:t>
            </w:r>
          </w:p>
          <w:p w14:paraId="0382C4E0">
            <w:pPr>
              <w:adjustRightInd w:val="0"/>
              <w:snapToGrid w:val="0"/>
              <w:spacing w:line="360" w:lineRule="auto"/>
              <w:ind w:firstLine="480" w:firstLineChars="200"/>
              <w:rPr>
                <w:bCs/>
                <w:sz w:val="24"/>
              </w:rPr>
            </w:pPr>
            <w:r>
              <w:rPr>
                <w:rFonts w:hint="eastAsia"/>
                <w:bCs/>
                <w:sz w:val="24"/>
              </w:rPr>
              <w:t>本项目建设有1座粉煤灰粉仓，仓顶配套有仓顶除尘器，上料时呼吸作用产生的上料粉尘经仓顶除尘器处理后排放。</w:t>
            </w:r>
          </w:p>
          <w:p w14:paraId="4AC766A5">
            <w:pPr>
              <w:adjustRightInd w:val="0"/>
              <w:snapToGrid w:val="0"/>
              <w:spacing w:line="360" w:lineRule="auto"/>
              <w:ind w:firstLine="480" w:firstLineChars="200"/>
              <w:rPr>
                <w:bCs/>
                <w:sz w:val="24"/>
              </w:rPr>
            </w:pPr>
            <w:r>
              <w:rPr>
                <w:rFonts w:hint="eastAsia"/>
                <w:bCs/>
                <w:sz w:val="24"/>
              </w:rPr>
              <w:t>仓顶除尘器的设计风量2100</w:t>
            </w:r>
            <w:r>
              <w:rPr>
                <w:bCs/>
                <w:sz w:val="24"/>
              </w:rPr>
              <w:t>m</w:t>
            </w:r>
            <w:r>
              <w:rPr>
                <w:bCs/>
                <w:sz w:val="24"/>
                <w:vertAlign w:val="superscript"/>
              </w:rPr>
              <w:t>3</w:t>
            </w:r>
            <w:r>
              <w:rPr>
                <w:bCs/>
                <w:sz w:val="24"/>
              </w:rPr>
              <w:t>/h</w:t>
            </w:r>
            <w:r>
              <w:rPr>
                <w:rFonts w:hint="eastAsia"/>
                <w:bCs/>
                <w:sz w:val="24"/>
              </w:rPr>
              <w:t>，出口含尘气体浓度小于</w:t>
            </w:r>
            <w:r>
              <w:rPr>
                <w:bCs/>
                <w:sz w:val="24"/>
              </w:rPr>
              <w:t>10mg/m</w:t>
            </w:r>
            <w:r>
              <w:rPr>
                <w:bCs/>
                <w:sz w:val="24"/>
                <w:vertAlign w:val="superscript"/>
              </w:rPr>
              <w:t>3</w:t>
            </w:r>
            <w:r>
              <w:rPr>
                <w:rFonts w:hint="eastAsia"/>
                <w:bCs/>
                <w:sz w:val="24"/>
              </w:rPr>
              <w:t>，</w:t>
            </w:r>
            <w:r>
              <w:rPr>
                <w:sz w:val="24"/>
              </w:rPr>
              <w:t>滤袋过滤风速0.6m/min</w:t>
            </w:r>
            <w:r>
              <w:rPr>
                <w:rFonts w:hint="eastAsia"/>
                <w:sz w:val="24"/>
              </w:rPr>
              <w:t>，</w:t>
            </w:r>
            <w:r>
              <w:rPr>
                <w:rFonts w:hint="eastAsia"/>
                <w:bCs/>
                <w:sz w:val="24"/>
              </w:rPr>
              <w:t>过滤面积58.4m</w:t>
            </w:r>
            <w:r>
              <w:rPr>
                <w:rFonts w:hint="eastAsia"/>
                <w:bCs/>
                <w:sz w:val="24"/>
                <w:vertAlign w:val="superscript"/>
              </w:rPr>
              <w:t>2</w:t>
            </w:r>
            <w:r>
              <w:rPr>
                <w:rFonts w:hint="eastAsia"/>
                <w:bCs/>
                <w:sz w:val="24"/>
              </w:rPr>
              <w:t>，采用覆膜布袋。废气经处理后由</w:t>
            </w:r>
            <w:r>
              <w:rPr>
                <w:bCs/>
                <w:sz w:val="24"/>
              </w:rPr>
              <w:t>29m</w:t>
            </w:r>
            <w:r>
              <w:rPr>
                <w:rFonts w:hint="eastAsia"/>
                <w:bCs/>
                <w:sz w:val="24"/>
              </w:rPr>
              <w:t>高排气筒（</w:t>
            </w:r>
            <w:r>
              <w:rPr>
                <w:bCs/>
                <w:sz w:val="24"/>
              </w:rPr>
              <w:t>DA00</w:t>
            </w:r>
            <w:r>
              <w:rPr>
                <w:rFonts w:hint="eastAsia"/>
                <w:bCs/>
                <w:sz w:val="24"/>
              </w:rPr>
              <w:t>5）排放。</w:t>
            </w:r>
          </w:p>
          <w:p w14:paraId="5EB9944B">
            <w:pPr>
              <w:adjustRightInd w:val="0"/>
              <w:snapToGrid w:val="0"/>
              <w:spacing w:line="360" w:lineRule="auto"/>
              <w:ind w:firstLine="480" w:firstLineChars="200"/>
              <w:rPr>
                <w:bCs/>
                <w:sz w:val="24"/>
              </w:rPr>
            </w:pPr>
            <w:r>
              <w:rPr>
                <w:rFonts w:hint="eastAsia"/>
                <w:bCs/>
                <w:sz w:val="24"/>
              </w:rPr>
              <w:t>参照《空气污染排放和控制手册》（美国环境保护局编著，张良壁等译， 中国环境科学出版社）中的“十 混凝土配料”推荐的混凝土配料工艺潜在的逸散排放因子的排放等级，并出于保守考虑，选取</w:t>
            </w:r>
            <w:r>
              <w:rPr>
                <w:bCs/>
                <w:sz w:val="24"/>
              </w:rPr>
              <w:t>0.11kg/t</w:t>
            </w:r>
            <w:r>
              <w:rPr>
                <w:rFonts w:hint="eastAsia"/>
                <w:bCs/>
                <w:sz w:val="24"/>
              </w:rPr>
              <w:t>物料。本项目粉煤灰使用量16307</w:t>
            </w:r>
            <w:r>
              <w:rPr>
                <w:bCs/>
                <w:sz w:val="24"/>
              </w:rPr>
              <w:t>t/a</w:t>
            </w:r>
            <w:r>
              <w:rPr>
                <w:rFonts w:hint="eastAsia"/>
                <w:bCs/>
                <w:sz w:val="24"/>
              </w:rPr>
              <w:t>，粉尘产生量为1.793</w:t>
            </w:r>
            <w:r>
              <w:rPr>
                <w:bCs/>
                <w:sz w:val="24"/>
              </w:rPr>
              <w:t>t/a</w:t>
            </w:r>
            <w:r>
              <w:rPr>
                <w:rFonts w:hint="eastAsia"/>
                <w:bCs/>
                <w:sz w:val="24"/>
              </w:rPr>
              <w:t>。</w:t>
            </w:r>
          </w:p>
          <w:p w14:paraId="107ADE9C">
            <w:pPr>
              <w:adjustRightInd w:val="0"/>
              <w:snapToGrid w:val="0"/>
              <w:spacing w:line="360" w:lineRule="auto"/>
              <w:ind w:firstLine="480" w:firstLineChars="200"/>
              <w:rPr>
                <w:bCs/>
                <w:sz w:val="24"/>
              </w:rPr>
            </w:pPr>
            <w:r>
              <w:rPr>
                <w:rFonts w:hint="eastAsia"/>
                <w:bCs/>
                <w:sz w:val="24"/>
              </w:rPr>
              <w:t>仓顶除尘器的设计最大风量为2100</w:t>
            </w:r>
            <w:r>
              <w:rPr>
                <w:bCs/>
                <w:sz w:val="24"/>
              </w:rPr>
              <w:t>m</w:t>
            </w:r>
            <w:r>
              <w:rPr>
                <w:bCs/>
                <w:sz w:val="24"/>
                <w:vertAlign w:val="superscript"/>
              </w:rPr>
              <w:t>3</w:t>
            </w:r>
            <w:r>
              <w:rPr>
                <w:bCs/>
                <w:sz w:val="24"/>
              </w:rPr>
              <w:t>/h</w:t>
            </w:r>
            <w:r>
              <w:rPr>
                <w:rFonts w:hint="eastAsia"/>
                <w:bCs/>
                <w:sz w:val="24"/>
              </w:rPr>
              <w:t>，出口颗粒物最大浓度为</w:t>
            </w:r>
            <w:r>
              <w:rPr>
                <w:bCs/>
                <w:sz w:val="24"/>
              </w:rPr>
              <w:t>10mg/m</w:t>
            </w:r>
            <w:r>
              <w:rPr>
                <w:bCs/>
                <w:sz w:val="24"/>
                <w:vertAlign w:val="superscript"/>
              </w:rPr>
              <w:t>3</w:t>
            </w:r>
            <w:r>
              <w:rPr>
                <w:rFonts w:hint="eastAsia"/>
                <w:bCs/>
                <w:sz w:val="24"/>
              </w:rPr>
              <w:t>，运行时间为226.4</w:t>
            </w:r>
            <w:r>
              <w:rPr>
                <w:bCs/>
                <w:sz w:val="24"/>
              </w:rPr>
              <w:t>h/a</w:t>
            </w:r>
            <w:r>
              <w:rPr>
                <w:rFonts w:hint="eastAsia"/>
                <w:bCs/>
                <w:sz w:val="24"/>
              </w:rPr>
              <w:t>，经计算颗粒物最大排放量为0.0048</w:t>
            </w:r>
            <w:r>
              <w:rPr>
                <w:bCs/>
                <w:sz w:val="24"/>
              </w:rPr>
              <w:t>t/a</w:t>
            </w:r>
            <w:r>
              <w:rPr>
                <w:rFonts w:hint="eastAsia"/>
                <w:bCs/>
                <w:sz w:val="24"/>
              </w:rPr>
              <w:t>，除尘效率为</w:t>
            </w:r>
            <w:r>
              <w:rPr>
                <w:bCs/>
                <w:sz w:val="24"/>
              </w:rPr>
              <w:t>99.</w:t>
            </w:r>
            <w:r>
              <w:rPr>
                <w:rFonts w:hint="eastAsia"/>
                <w:bCs/>
                <w:sz w:val="24"/>
              </w:rPr>
              <w:t>7</w:t>
            </w:r>
            <w:r>
              <w:rPr>
                <w:bCs/>
                <w:sz w:val="24"/>
              </w:rPr>
              <w:t>%</w:t>
            </w:r>
            <w:r>
              <w:rPr>
                <w:rFonts w:hint="eastAsia"/>
                <w:bCs/>
                <w:sz w:val="24"/>
              </w:rPr>
              <w:t>。</w:t>
            </w:r>
          </w:p>
          <w:p w14:paraId="07468502">
            <w:pPr>
              <w:adjustRightInd w:val="0"/>
              <w:snapToGrid w:val="0"/>
              <w:spacing w:line="360" w:lineRule="auto"/>
              <w:ind w:firstLine="482" w:firstLineChars="200"/>
              <w:rPr>
                <w:b/>
                <w:sz w:val="24"/>
                <w:lang w:val="pt-BR"/>
              </w:rPr>
            </w:pPr>
          </w:p>
          <w:p w14:paraId="54BAC696">
            <w:pPr>
              <w:adjustRightInd w:val="0"/>
              <w:snapToGrid w:val="0"/>
              <w:spacing w:line="360" w:lineRule="auto"/>
              <w:ind w:firstLine="482" w:firstLineChars="200"/>
              <w:rPr>
                <w:b/>
                <w:sz w:val="24"/>
                <w:lang w:val="pt-BR"/>
              </w:rPr>
            </w:pPr>
            <w:r>
              <w:rPr>
                <w:rFonts w:hint="eastAsia"/>
                <w:b/>
                <w:sz w:val="24"/>
                <w:lang w:val="pt-BR"/>
              </w:rPr>
              <w:t>（7）包装粉尘</w:t>
            </w:r>
          </w:p>
          <w:p w14:paraId="1C614003">
            <w:pPr>
              <w:adjustRightInd w:val="0"/>
              <w:snapToGrid w:val="0"/>
              <w:spacing w:line="360" w:lineRule="auto"/>
              <w:ind w:firstLine="480" w:firstLineChars="200"/>
              <w:rPr>
                <w:bCs/>
                <w:sz w:val="24"/>
                <w:lang w:val="pt-BR"/>
              </w:rPr>
            </w:pPr>
            <w:r>
              <w:rPr>
                <w:rFonts w:hint="eastAsia" w:ascii="宋体" w:hAnsi="宋体"/>
                <w:bCs/>
                <w:sz w:val="24"/>
                <w:lang w:val="pt-BR"/>
              </w:rPr>
              <w:t>①</w:t>
            </w:r>
            <w:r>
              <w:rPr>
                <w:rFonts w:hint="eastAsia"/>
                <w:bCs/>
                <w:sz w:val="24"/>
                <w:lang w:val="pt-BR"/>
              </w:rPr>
              <w:t>干粉砂浆包装粉尘</w:t>
            </w:r>
          </w:p>
          <w:p w14:paraId="59E16C8F">
            <w:pPr>
              <w:adjustRightInd w:val="0"/>
              <w:snapToGrid w:val="0"/>
              <w:spacing w:line="360" w:lineRule="auto"/>
              <w:ind w:firstLine="480" w:firstLineChars="200"/>
              <w:rPr>
                <w:bCs/>
                <w:sz w:val="24"/>
                <w:lang w:val="pt-BR"/>
              </w:rPr>
            </w:pPr>
            <w:r>
              <w:rPr>
                <w:rFonts w:hint="eastAsia"/>
                <w:bCs/>
                <w:sz w:val="24"/>
                <w:lang w:val="pt-BR"/>
              </w:rPr>
              <w:t>本项目产品干粉砂浆散装比例为90%，因此有大约20000t/a 装袋销售，包装过程中产生粉尘，袋装包装时产生的粉尘经包装机除尘器处理后排放。包装机除尘器设计风量5400~10800m</w:t>
            </w:r>
            <w:r>
              <w:rPr>
                <w:bCs/>
                <w:sz w:val="24"/>
                <w:vertAlign w:val="superscript"/>
                <w:lang w:val="pt-BR"/>
              </w:rPr>
              <w:t>3</w:t>
            </w:r>
            <w:r>
              <w:rPr>
                <w:rFonts w:hint="eastAsia"/>
                <w:bCs/>
                <w:sz w:val="24"/>
                <w:lang w:val="pt-BR"/>
              </w:rPr>
              <w:t>/h，出口含尘气体浓度小于10mg/m</w:t>
            </w:r>
            <w:r>
              <w:rPr>
                <w:bCs/>
                <w:sz w:val="24"/>
                <w:vertAlign w:val="superscript"/>
                <w:lang w:val="pt-BR"/>
              </w:rPr>
              <w:t>3</w:t>
            </w:r>
            <w:r>
              <w:rPr>
                <w:rFonts w:hint="eastAsia"/>
                <w:bCs/>
                <w:sz w:val="24"/>
                <w:lang w:val="pt-BR"/>
              </w:rPr>
              <w:t>，过滤面积300m</w:t>
            </w:r>
            <w:r>
              <w:rPr>
                <w:bCs/>
                <w:sz w:val="24"/>
                <w:vertAlign w:val="superscript"/>
                <w:lang w:val="pt-BR"/>
              </w:rPr>
              <w:t>2</w:t>
            </w:r>
            <w:r>
              <w:rPr>
                <w:rFonts w:hint="eastAsia"/>
                <w:bCs/>
                <w:sz w:val="24"/>
                <w:lang w:val="pt-BR"/>
              </w:rPr>
              <w:t>，采用覆膜布袋。废气经处理后与主楼除尘器废气、主楼散装除尘器废气合并由18m高排气筒（</w:t>
            </w:r>
            <w:r>
              <w:rPr>
                <w:bCs/>
                <w:sz w:val="24"/>
                <w:lang w:val="pt-BR"/>
              </w:rPr>
              <w:t>DA00</w:t>
            </w:r>
            <w:r>
              <w:rPr>
                <w:rFonts w:hint="eastAsia"/>
                <w:bCs/>
                <w:sz w:val="24"/>
                <w:lang w:val="pt-BR"/>
              </w:rPr>
              <w:t>2）排放。</w:t>
            </w:r>
          </w:p>
          <w:p w14:paraId="380E9001">
            <w:pPr>
              <w:adjustRightInd w:val="0"/>
              <w:snapToGrid w:val="0"/>
              <w:spacing w:line="360" w:lineRule="auto"/>
              <w:ind w:firstLine="480" w:firstLineChars="200"/>
              <w:rPr>
                <w:bCs/>
                <w:sz w:val="24"/>
                <w:lang w:val="pt-BR"/>
              </w:rPr>
            </w:pPr>
            <w:r>
              <w:rPr>
                <w:sz w:val="24"/>
              </w:rPr>
              <w:t>参照《排放源统计调查及产排污核算方法和系数手册》中</w:t>
            </w:r>
            <w:r>
              <w:rPr>
                <w:rFonts w:hint="eastAsia"/>
                <w:sz w:val="24"/>
              </w:rPr>
              <w:t>“</w:t>
            </w:r>
            <w:r>
              <w:rPr>
                <w:sz w:val="24"/>
              </w:rPr>
              <w:t>3021 水泥制品制造（含3022砼结构构件制造、3029其他水泥类似制品制造）行业系数手册</w:t>
            </w:r>
            <w:r>
              <w:rPr>
                <w:rFonts w:hint="eastAsia"/>
                <w:sz w:val="24"/>
              </w:rPr>
              <w:t>”</w:t>
            </w:r>
            <w:r>
              <w:rPr>
                <w:sz w:val="24"/>
              </w:rPr>
              <w:t>中</w:t>
            </w:r>
            <w:r>
              <w:rPr>
                <w:rFonts w:hint="eastAsia"/>
                <w:sz w:val="24"/>
              </w:rPr>
              <w:t>物料输送，</w:t>
            </w:r>
            <w:r>
              <w:rPr>
                <w:sz w:val="24"/>
              </w:rPr>
              <w:t>颗粒物产</w:t>
            </w:r>
            <w:r>
              <w:rPr>
                <w:rFonts w:hint="eastAsia"/>
                <w:sz w:val="24"/>
              </w:rPr>
              <w:t>污</w:t>
            </w:r>
            <w:r>
              <w:rPr>
                <w:sz w:val="24"/>
              </w:rPr>
              <w:t>系数：0.12kg/t</w:t>
            </w:r>
            <w:r>
              <w:rPr>
                <w:rFonts w:hint="eastAsia"/>
                <w:sz w:val="24"/>
              </w:rPr>
              <w:t>－</w:t>
            </w:r>
            <w:r>
              <w:rPr>
                <w:sz w:val="24"/>
              </w:rPr>
              <w:t>产品</w:t>
            </w:r>
            <w:r>
              <w:rPr>
                <w:rFonts w:hint="eastAsia"/>
                <w:sz w:val="24"/>
              </w:rPr>
              <w:t>。本项目包装砂浆数量2</w:t>
            </w:r>
            <w:r>
              <w:rPr>
                <w:sz w:val="24"/>
              </w:rPr>
              <w:t>0000t/a，粉尘产生量为</w:t>
            </w:r>
            <w:r>
              <w:rPr>
                <w:rFonts w:hint="eastAsia"/>
                <w:sz w:val="24"/>
              </w:rPr>
              <w:t>2.4t</w:t>
            </w:r>
            <w:r>
              <w:rPr>
                <w:sz w:val="24"/>
              </w:rPr>
              <w:t>/a</w:t>
            </w:r>
            <w:r>
              <w:rPr>
                <w:rFonts w:hint="eastAsia"/>
                <w:sz w:val="24"/>
              </w:rPr>
              <w:t>。</w:t>
            </w:r>
          </w:p>
          <w:p w14:paraId="21B738FA">
            <w:pPr>
              <w:adjustRightInd w:val="0"/>
              <w:snapToGrid w:val="0"/>
              <w:spacing w:line="360" w:lineRule="auto"/>
              <w:ind w:firstLine="480" w:firstLineChars="200"/>
              <w:rPr>
                <w:bCs/>
                <w:sz w:val="24"/>
                <w:lang w:val="pt-BR"/>
              </w:rPr>
            </w:pPr>
            <w:r>
              <w:rPr>
                <w:rFonts w:hint="eastAsia"/>
                <w:sz w:val="24"/>
              </w:rPr>
              <w:t>除尘器的设计最大风量为</w:t>
            </w:r>
            <w:r>
              <w:rPr>
                <w:sz w:val="24"/>
              </w:rPr>
              <w:t>10800</w:t>
            </w:r>
            <w:r>
              <w:rPr>
                <w:rFonts w:hint="eastAsia"/>
                <w:sz w:val="24"/>
              </w:rPr>
              <w:t>m</w:t>
            </w:r>
            <w:r>
              <w:rPr>
                <w:sz w:val="24"/>
                <w:vertAlign w:val="superscript"/>
              </w:rPr>
              <w:t>3</w:t>
            </w:r>
            <w:r>
              <w:rPr>
                <w:sz w:val="24"/>
              </w:rPr>
              <w:t>/</w:t>
            </w:r>
            <w:r>
              <w:rPr>
                <w:rFonts w:hint="eastAsia"/>
                <w:sz w:val="24"/>
              </w:rPr>
              <w:t>h，设计除尘效率为94.6%，运行时间为12</w:t>
            </w:r>
            <w:r>
              <w:rPr>
                <w:sz w:val="24"/>
              </w:rPr>
              <w:t>00</w:t>
            </w:r>
            <w:r>
              <w:rPr>
                <w:rFonts w:hint="eastAsia"/>
                <w:sz w:val="24"/>
              </w:rPr>
              <w:t>h</w:t>
            </w:r>
            <w:r>
              <w:rPr>
                <w:sz w:val="24"/>
              </w:rPr>
              <w:t>/</w:t>
            </w:r>
            <w:r>
              <w:rPr>
                <w:rFonts w:hint="eastAsia"/>
                <w:sz w:val="24"/>
              </w:rPr>
              <w:t>a，排放浓度</w:t>
            </w:r>
            <w:r>
              <w:rPr>
                <w:sz w:val="24"/>
              </w:rPr>
              <w:t>10mg/m</w:t>
            </w:r>
            <w:r>
              <w:rPr>
                <w:sz w:val="24"/>
                <w:vertAlign w:val="superscript"/>
              </w:rPr>
              <w:t>3</w:t>
            </w:r>
            <w:r>
              <w:rPr>
                <w:rFonts w:hint="eastAsia"/>
                <w:sz w:val="24"/>
              </w:rPr>
              <w:t>，经计算颗粒物排放量为</w:t>
            </w:r>
            <w:r>
              <w:rPr>
                <w:sz w:val="24"/>
              </w:rPr>
              <w:t>0.</w:t>
            </w:r>
            <w:r>
              <w:rPr>
                <w:rFonts w:hint="eastAsia"/>
                <w:sz w:val="24"/>
              </w:rPr>
              <w:t>13t</w:t>
            </w:r>
            <w:r>
              <w:rPr>
                <w:sz w:val="24"/>
              </w:rPr>
              <w:t>/</w:t>
            </w:r>
            <w:r>
              <w:rPr>
                <w:rFonts w:hint="eastAsia"/>
                <w:sz w:val="24"/>
              </w:rPr>
              <w:t>a，排放速率0</w:t>
            </w:r>
            <w:r>
              <w:rPr>
                <w:sz w:val="24"/>
              </w:rPr>
              <w:t>.</w:t>
            </w:r>
            <w:r>
              <w:rPr>
                <w:rFonts w:hint="eastAsia"/>
                <w:sz w:val="24"/>
              </w:rPr>
              <w:t>108kg/h，满足排放要求。</w:t>
            </w:r>
          </w:p>
          <w:p w14:paraId="0D1194A8">
            <w:pPr>
              <w:adjustRightInd w:val="0"/>
              <w:snapToGrid w:val="0"/>
              <w:spacing w:line="360" w:lineRule="auto"/>
              <w:ind w:firstLine="480" w:firstLineChars="200"/>
              <w:rPr>
                <w:bCs/>
                <w:sz w:val="24"/>
                <w:lang w:val="pt-BR"/>
              </w:rPr>
            </w:pPr>
            <w:r>
              <w:rPr>
                <w:rFonts w:hint="eastAsia" w:ascii="宋体" w:hAnsi="宋体"/>
                <w:bCs/>
                <w:sz w:val="24"/>
                <w:lang w:val="pt-BR"/>
              </w:rPr>
              <w:t>②</w:t>
            </w:r>
            <w:r>
              <w:rPr>
                <w:rFonts w:hint="eastAsia"/>
                <w:bCs/>
                <w:sz w:val="24"/>
                <w:lang w:val="pt-BR"/>
              </w:rPr>
              <w:t>干粉砂浆散装粉尘</w:t>
            </w:r>
          </w:p>
          <w:p w14:paraId="7680AF98">
            <w:pPr>
              <w:adjustRightInd w:val="0"/>
              <w:snapToGrid w:val="0"/>
              <w:spacing w:line="360" w:lineRule="auto"/>
              <w:ind w:firstLine="480" w:firstLineChars="200"/>
              <w:rPr>
                <w:bCs/>
                <w:sz w:val="24"/>
              </w:rPr>
            </w:pPr>
            <w:r>
              <w:rPr>
                <w:rFonts w:hint="eastAsia"/>
                <w:bCs/>
                <w:sz w:val="24"/>
              </w:rPr>
              <w:t>本项目产品干粉砂浆有18</w:t>
            </w:r>
            <w:r>
              <w:rPr>
                <w:bCs/>
                <w:sz w:val="24"/>
              </w:rPr>
              <w:t>0000t/a</w:t>
            </w:r>
            <w:r>
              <w:rPr>
                <w:rFonts w:hint="eastAsia"/>
                <w:bCs/>
                <w:sz w:val="24"/>
              </w:rPr>
              <w:t>散装销售，其中经独立成品仓散装销售125000t/a。散装时产生的粉尘经散装机除尘器处理后排放。主楼散装设施和独立成品仓散装设施各设置</w:t>
            </w:r>
            <w:r>
              <w:rPr>
                <w:bCs/>
                <w:sz w:val="24"/>
              </w:rPr>
              <w:t>1</w:t>
            </w:r>
            <w:r>
              <w:rPr>
                <w:rFonts w:hint="eastAsia"/>
                <w:bCs/>
                <w:sz w:val="24"/>
              </w:rPr>
              <w:t>套砂浆成品散装除尘器，每个除尘器设计风量</w:t>
            </w:r>
            <w:r>
              <w:rPr>
                <w:bCs/>
                <w:sz w:val="24"/>
              </w:rPr>
              <w:t>2160~4320m</w:t>
            </w:r>
            <w:r>
              <w:rPr>
                <w:bCs/>
                <w:sz w:val="24"/>
                <w:vertAlign w:val="superscript"/>
              </w:rPr>
              <w:t>3</w:t>
            </w:r>
            <w:r>
              <w:rPr>
                <w:bCs/>
                <w:sz w:val="24"/>
              </w:rPr>
              <w:t>/h</w:t>
            </w:r>
            <w:r>
              <w:rPr>
                <w:rFonts w:hint="eastAsia"/>
                <w:bCs/>
                <w:sz w:val="24"/>
              </w:rPr>
              <w:t>，出口含尘气体浓度小于</w:t>
            </w:r>
            <w:r>
              <w:rPr>
                <w:bCs/>
                <w:sz w:val="24"/>
              </w:rPr>
              <w:t>10mg/m</w:t>
            </w:r>
            <w:r>
              <w:rPr>
                <w:bCs/>
                <w:sz w:val="24"/>
                <w:vertAlign w:val="superscript"/>
              </w:rPr>
              <w:t>3</w:t>
            </w:r>
            <w:r>
              <w:rPr>
                <w:rFonts w:hint="eastAsia"/>
                <w:bCs/>
                <w:sz w:val="24"/>
              </w:rPr>
              <w:t>，</w:t>
            </w:r>
            <w:r>
              <w:rPr>
                <w:sz w:val="24"/>
              </w:rPr>
              <w:t>滤袋过滤风速0.6m/min</w:t>
            </w:r>
            <w:r>
              <w:rPr>
                <w:rFonts w:hint="eastAsia"/>
                <w:sz w:val="24"/>
              </w:rPr>
              <w:t>，</w:t>
            </w:r>
            <w:r>
              <w:rPr>
                <w:rFonts w:hint="eastAsia"/>
                <w:bCs/>
                <w:sz w:val="24"/>
              </w:rPr>
              <w:t>过滤面积120</w:t>
            </w:r>
            <w:r>
              <w:rPr>
                <w:bCs/>
                <w:sz w:val="24"/>
              </w:rPr>
              <w:t>m</w:t>
            </w:r>
            <w:r>
              <w:rPr>
                <w:bCs/>
                <w:sz w:val="24"/>
                <w:vertAlign w:val="superscript"/>
              </w:rPr>
              <w:t>2</w:t>
            </w:r>
            <w:r>
              <w:rPr>
                <w:rFonts w:hint="eastAsia"/>
                <w:bCs/>
                <w:sz w:val="24"/>
              </w:rPr>
              <w:t>，采用覆膜布袋。主楼散装除尘器废气与主楼除尘器废气、包装机除尘器废气合并由</w:t>
            </w:r>
            <w:r>
              <w:rPr>
                <w:bCs/>
                <w:sz w:val="24"/>
              </w:rPr>
              <w:t>18m</w:t>
            </w:r>
            <w:r>
              <w:rPr>
                <w:rFonts w:hint="eastAsia"/>
                <w:bCs/>
                <w:sz w:val="24"/>
              </w:rPr>
              <w:t>高排气筒（</w:t>
            </w:r>
            <w:r>
              <w:rPr>
                <w:bCs/>
                <w:sz w:val="24"/>
              </w:rPr>
              <w:t>DA00</w:t>
            </w:r>
            <w:r>
              <w:rPr>
                <w:rFonts w:hint="eastAsia"/>
                <w:bCs/>
                <w:sz w:val="24"/>
              </w:rPr>
              <w:t>2）排放，独立成品仓散装除尘器废气与成品仓仓顶除尘器废气合并由</w:t>
            </w:r>
            <w:r>
              <w:rPr>
                <w:bCs/>
                <w:sz w:val="24"/>
              </w:rPr>
              <w:t>1</w:t>
            </w:r>
            <w:r>
              <w:rPr>
                <w:rFonts w:hint="eastAsia"/>
                <w:bCs/>
                <w:sz w:val="24"/>
              </w:rPr>
              <w:t>根</w:t>
            </w:r>
            <w:r>
              <w:rPr>
                <w:bCs/>
                <w:sz w:val="24"/>
              </w:rPr>
              <w:t>19m</w:t>
            </w:r>
            <w:r>
              <w:rPr>
                <w:rFonts w:hint="eastAsia"/>
                <w:bCs/>
                <w:sz w:val="24"/>
              </w:rPr>
              <w:t>高排气筒（</w:t>
            </w:r>
            <w:r>
              <w:rPr>
                <w:bCs/>
                <w:sz w:val="24"/>
              </w:rPr>
              <w:t>DA00</w:t>
            </w:r>
            <w:r>
              <w:rPr>
                <w:rFonts w:hint="eastAsia"/>
                <w:bCs/>
                <w:sz w:val="24"/>
              </w:rPr>
              <w:t>6）排放。</w:t>
            </w:r>
          </w:p>
          <w:p w14:paraId="41DD4DC2">
            <w:pPr>
              <w:adjustRightInd w:val="0"/>
              <w:snapToGrid w:val="0"/>
              <w:spacing w:line="360" w:lineRule="auto"/>
              <w:ind w:firstLine="480" w:firstLineChars="200"/>
              <w:rPr>
                <w:bCs/>
                <w:sz w:val="24"/>
              </w:rPr>
            </w:pPr>
            <w:r>
              <w:rPr>
                <w:rFonts w:hint="eastAsia"/>
                <w:bCs/>
                <w:sz w:val="24"/>
              </w:rPr>
              <w:t>参照《排放源统计调查及产排污核算方法和系数手册》中“</w:t>
            </w:r>
            <w:r>
              <w:rPr>
                <w:bCs/>
                <w:sz w:val="24"/>
              </w:rPr>
              <w:t>3021</w:t>
            </w:r>
            <w:r>
              <w:rPr>
                <w:rFonts w:hint="eastAsia"/>
                <w:bCs/>
                <w:sz w:val="24"/>
              </w:rPr>
              <w:t>水泥制品制造（含</w:t>
            </w:r>
            <w:r>
              <w:rPr>
                <w:bCs/>
                <w:sz w:val="24"/>
              </w:rPr>
              <w:t>3022</w:t>
            </w:r>
            <w:r>
              <w:rPr>
                <w:rFonts w:hint="eastAsia"/>
                <w:bCs/>
                <w:sz w:val="24"/>
              </w:rPr>
              <w:t>砼结构构件制造、</w:t>
            </w:r>
            <w:r>
              <w:rPr>
                <w:bCs/>
                <w:sz w:val="24"/>
              </w:rPr>
              <w:t>3029</w:t>
            </w:r>
            <w:r>
              <w:rPr>
                <w:rFonts w:hint="eastAsia"/>
                <w:bCs/>
                <w:sz w:val="24"/>
              </w:rPr>
              <w:t>其他水泥类似制品制造）行业系数手册”中物料输送，颗粒物产污系数：</w:t>
            </w:r>
            <w:r>
              <w:rPr>
                <w:bCs/>
                <w:sz w:val="24"/>
              </w:rPr>
              <w:t>0.12kg/t</w:t>
            </w:r>
            <w:r>
              <w:rPr>
                <w:rFonts w:hint="eastAsia"/>
                <w:bCs/>
                <w:sz w:val="24"/>
              </w:rPr>
              <w:t>－产品。本项目散装外售产品数量18</w:t>
            </w:r>
            <w:r>
              <w:rPr>
                <w:bCs/>
                <w:sz w:val="24"/>
              </w:rPr>
              <w:t>0000t/a</w:t>
            </w:r>
            <w:r>
              <w:rPr>
                <w:rFonts w:hint="eastAsia"/>
                <w:bCs/>
                <w:sz w:val="24"/>
              </w:rPr>
              <w:t>，粉尘产生量为21.6</w:t>
            </w:r>
            <w:r>
              <w:rPr>
                <w:bCs/>
                <w:sz w:val="24"/>
              </w:rPr>
              <w:t>t/a</w:t>
            </w:r>
            <w:r>
              <w:rPr>
                <w:rFonts w:hint="eastAsia"/>
                <w:bCs/>
                <w:sz w:val="24"/>
              </w:rPr>
              <w:t xml:space="preserve">，其中主楼散装产尘6.6t/a，独立成品仓散装产尘15t/a。 </w:t>
            </w:r>
          </w:p>
          <w:p w14:paraId="61FCE8E9">
            <w:pPr>
              <w:adjustRightInd w:val="0"/>
              <w:snapToGrid w:val="0"/>
              <w:spacing w:line="360" w:lineRule="auto"/>
              <w:ind w:firstLine="480" w:firstLineChars="200"/>
              <w:rPr>
                <w:bCs/>
                <w:sz w:val="24"/>
                <w:lang w:val="pt-BR"/>
              </w:rPr>
            </w:pPr>
            <w:bookmarkStart w:id="14" w:name="_Hlk175746984"/>
            <w:r>
              <w:rPr>
                <w:rFonts w:hint="eastAsia"/>
                <w:bCs/>
                <w:sz w:val="24"/>
              </w:rPr>
              <w:t>主楼散装除尘器的设计风量为</w:t>
            </w:r>
            <w:r>
              <w:rPr>
                <w:bCs/>
                <w:sz w:val="24"/>
              </w:rPr>
              <w:t>4320m</w:t>
            </w:r>
            <w:r>
              <w:rPr>
                <w:bCs/>
                <w:sz w:val="24"/>
                <w:vertAlign w:val="superscript"/>
              </w:rPr>
              <w:t>3</w:t>
            </w:r>
            <w:r>
              <w:rPr>
                <w:bCs/>
                <w:sz w:val="24"/>
              </w:rPr>
              <w:t>/h</w:t>
            </w:r>
            <w:r>
              <w:rPr>
                <w:rFonts w:hint="eastAsia"/>
                <w:bCs/>
                <w:sz w:val="24"/>
              </w:rPr>
              <w:t>，出口颗粒物最大浓度为</w:t>
            </w:r>
            <w:r>
              <w:rPr>
                <w:bCs/>
                <w:sz w:val="24"/>
              </w:rPr>
              <w:t>10mg/m</w:t>
            </w:r>
            <w:r>
              <w:rPr>
                <w:bCs/>
                <w:sz w:val="24"/>
                <w:vertAlign w:val="superscript"/>
              </w:rPr>
              <w:t>3</w:t>
            </w:r>
            <w:r>
              <w:rPr>
                <w:rFonts w:hint="eastAsia"/>
                <w:bCs/>
                <w:sz w:val="24"/>
              </w:rPr>
              <w:t>，运行时间为458h/a，经计算颗粒物最大排放量为</w:t>
            </w:r>
            <w:r>
              <w:rPr>
                <w:bCs/>
                <w:sz w:val="24"/>
              </w:rPr>
              <w:t>0.0</w:t>
            </w:r>
            <w:r>
              <w:rPr>
                <w:rFonts w:hint="eastAsia"/>
                <w:bCs/>
                <w:sz w:val="24"/>
              </w:rPr>
              <w:t>2</w:t>
            </w:r>
            <w:r>
              <w:rPr>
                <w:bCs/>
                <w:sz w:val="24"/>
              </w:rPr>
              <w:t>t/a</w:t>
            </w:r>
            <w:r>
              <w:rPr>
                <w:rFonts w:hint="eastAsia"/>
                <w:bCs/>
                <w:sz w:val="24"/>
              </w:rPr>
              <w:t>，排放速率</w:t>
            </w:r>
            <w:r>
              <w:rPr>
                <w:bCs/>
                <w:sz w:val="24"/>
              </w:rPr>
              <w:t>0.043kg/h</w:t>
            </w:r>
            <w:r>
              <w:rPr>
                <w:rFonts w:hint="eastAsia"/>
                <w:bCs/>
                <w:sz w:val="24"/>
              </w:rPr>
              <w:t>，主楼散装除尘效率为99.7%；独立成品仓散装除尘器的设计最大风量为</w:t>
            </w:r>
            <w:r>
              <w:rPr>
                <w:bCs/>
                <w:sz w:val="24"/>
              </w:rPr>
              <w:t>4320m</w:t>
            </w:r>
            <w:r>
              <w:rPr>
                <w:bCs/>
                <w:sz w:val="24"/>
                <w:vertAlign w:val="superscript"/>
              </w:rPr>
              <w:t>3</w:t>
            </w:r>
            <w:r>
              <w:rPr>
                <w:bCs/>
                <w:sz w:val="24"/>
              </w:rPr>
              <w:t>/h</w:t>
            </w:r>
            <w:r>
              <w:rPr>
                <w:rFonts w:hint="eastAsia"/>
                <w:bCs/>
                <w:sz w:val="24"/>
              </w:rPr>
              <w:t>，出口颗粒物最大浓度为</w:t>
            </w:r>
            <w:r>
              <w:rPr>
                <w:bCs/>
                <w:sz w:val="24"/>
              </w:rPr>
              <w:t>10mg/m</w:t>
            </w:r>
            <w:r>
              <w:rPr>
                <w:bCs/>
                <w:sz w:val="24"/>
                <w:vertAlign w:val="superscript"/>
              </w:rPr>
              <w:t>3</w:t>
            </w:r>
            <w:r>
              <w:rPr>
                <w:rFonts w:hint="eastAsia"/>
                <w:bCs/>
                <w:sz w:val="24"/>
              </w:rPr>
              <w:t>，运行时间为1042</w:t>
            </w:r>
            <w:r>
              <w:rPr>
                <w:bCs/>
                <w:sz w:val="24"/>
              </w:rPr>
              <w:t>h/a</w:t>
            </w:r>
            <w:r>
              <w:rPr>
                <w:rFonts w:hint="eastAsia"/>
                <w:bCs/>
                <w:sz w:val="24"/>
              </w:rPr>
              <w:t>，经计算颗粒物最大排放量为</w:t>
            </w:r>
            <w:r>
              <w:rPr>
                <w:bCs/>
                <w:sz w:val="24"/>
              </w:rPr>
              <w:t>0.0</w:t>
            </w:r>
            <w:r>
              <w:rPr>
                <w:rFonts w:hint="eastAsia"/>
                <w:bCs/>
                <w:sz w:val="24"/>
              </w:rPr>
              <w:t>45</w:t>
            </w:r>
            <w:r>
              <w:rPr>
                <w:bCs/>
                <w:sz w:val="24"/>
              </w:rPr>
              <w:t>t/a</w:t>
            </w:r>
            <w:r>
              <w:rPr>
                <w:rFonts w:hint="eastAsia"/>
                <w:bCs/>
                <w:sz w:val="24"/>
              </w:rPr>
              <w:t>，排放速率</w:t>
            </w:r>
            <w:r>
              <w:rPr>
                <w:bCs/>
                <w:sz w:val="24"/>
              </w:rPr>
              <w:t>0.043kg/h</w:t>
            </w:r>
            <w:r>
              <w:rPr>
                <w:rFonts w:hint="eastAsia"/>
                <w:bCs/>
                <w:sz w:val="24"/>
              </w:rPr>
              <w:t>，独立成品仓散装除尘效率为</w:t>
            </w:r>
            <w:r>
              <w:rPr>
                <w:bCs/>
                <w:sz w:val="24"/>
              </w:rPr>
              <w:t>99.</w:t>
            </w:r>
            <w:r>
              <w:rPr>
                <w:rFonts w:hint="eastAsia"/>
                <w:bCs/>
                <w:sz w:val="24"/>
              </w:rPr>
              <w:t>7</w:t>
            </w:r>
            <w:r>
              <w:rPr>
                <w:bCs/>
                <w:sz w:val="24"/>
              </w:rPr>
              <w:t>%</w:t>
            </w:r>
            <w:r>
              <w:rPr>
                <w:rFonts w:hint="eastAsia"/>
                <w:bCs/>
                <w:sz w:val="24"/>
              </w:rPr>
              <w:t>。</w:t>
            </w:r>
          </w:p>
          <w:p w14:paraId="3E801FE4">
            <w:pPr>
              <w:adjustRightInd w:val="0"/>
              <w:snapToGrid w:val="0"/>
              <w:spacing w:line="360" w:lineRule="auto"/>
              <w:ind w:firstLine="480" w:firstLineChars="200"/>
              <w:rPr>
                <w:bCs/>
                <w:sz w:val="24"/>
                <w:lang w:val="pt-BR"/>
              </w:rPr>
            </w:pPr>
            <w:r>
              <w:rPr>
                <w:rFonts w:hint="eastAsia" w:ascii="宋体" w:hAnsi="宋体"/>
                <w:sz w:val="24"/>
              </w:rPr>
              <w:t>③</w:t>
            </w:r>
            <w:r>
              <w:rPr>
                <w:rFonts w:hint="eastAsia"/>
                <w:bCs/>
                <w:sz w:val="24"/>
                <w:lang w:val="pt-BR"/>
              </w:rPr>
              <w:t>砂浆入产品仓粉尘</w:t>
            </w:r>
          </w:p>
          <w:p w14:paraId="54544139">
            <w:pPr>
              <w:adjustRightInd w:val="0"/>
              <w:snapToGrid w:val="0"/>
              <w:spacing w:line="360" w:lineRule="auto"/>
              <w:ind w:firstLine="480" w:firstLineChars="200"/>
              <w:rPr>
                <w:bCs/>
                <w:sz w:val="24"/>
              </w:rPr>
            </w:pPr>
            <w:r>
              <w:rPr>
                <w:rFonts w:hint="eastAsia"/>
                <w:bCs/>
                <w:sz w:val="24"/>
              </w:rPr>
              <w:t>本项目产品干粉砂浆散装产品有</w:t>
            </w:r>
            <w:r>
              <w:rPr>
                <w:bCs/>
                <w:sz w:val="24"/>
              </w:rPr>
              <w:t>125000t/a</w:t>
            </w:r>
            <w:r>
              <w:rPr>
                <w:rFonts w:hint="eastAsia"/>
                <w:bCs/>
                <w:sz w:val="24"/>
              </w:rPr>
              <w:t>通过独立产品仓输出，物料进仓时呼吸作用产生粉尘，该粉尘经仓顶除尘器处理后排放。产品仓仓顶除尘器设计风量</w:t>
            </w:r>
            <w:r>
              <w:rPr>
                <w:bCs/>
                <w:sz w:val="24"/>
              </w:rPr>
              <w:t>2160~4320m</w:t>
            </w:r>
            <w:r>
              <w:rPr>
                <w:bCs/>
                <w:sz w:val="24"/>
                <w:vertAlign w:val="superscript"/>
              </w:rPr>
              <w:t>3</w:t>
            </w:r>
            <w:r>
              <w:rPr>
                <w:bCs/>
                <w:sz w:val="24"/>
              </w:rPr>
              <w:t>/h</w:t>
            </w:r>
            <w:r>
              <w:rPr>
                <w:rFonts w:hint="eastAsia"/>
                <w:bCs/>
                <w:sz w:val="24"/>
              </w:rPr>
              <w:t>，出口含尘气体浓度小于</w:t>
            </w:r>
            <w:r>
              <w:rPr>
                <w:bCs/>
                <w:sz w:val="24"/>
              </w:rPr>
              <w:t>10mg/m</w:t>
            </w:r>
            <w:r>
              <w:rPr>
                <w:bCs/>
                <w:sz w:val="24"/>
                <w:vertAlign w:val="superscript"/>
              </w:rPr>
              <w:t>3</w:t>
            </w:r>
            <w:r>
              <w:rPr>
                <w:rFonts w:hint="eastAsia"/>
                <w:bCs/>
                <w:sz w:val="24"/>
              </w:rPr>
              <w:t>，过滤面积120</w:t>
            </w:r>
            <w:r>
              <w:rPr>
                <w:bCs/>
                <w:sz w:val="24"/>
              </w:rPr>
              <w:t>m</w:t>
            </w:r>
            <w:r>
              <w:rPr>
                <w:bCs/>
                <w:sz w:val="24"/>
                <w:vertAlign w:val="superscript"/>
              </w:rPr>
              <w:t>2</w:t>
            </w:r>
            <w:r>
              <w:rPr>
                <w:rFonts w:hint="eastAsia"/>
                <w:bCs/>
                <w:sz w:val="24"/>
              </w:rPr>
              <w:t>，采用覆膜布袋。废气经处理后经</w:t>
            </w:r>
            <w:r>
              <w:rPr>
                <w:bCs/>
                <w:sz w:val="24"/>
              </w:rPr>
              <w:t>19m</w:t>
            </w:r>
            <w:r>
              <w:rPr>
                <w:rFonts w:hint="eastAsia"/>
                <w:bCs/>
                <w:sz w:val="24"/>
              </w:rPr>
              <w:t>高排气筒（</w:t>
            </w:r>
            <w:r>
              <w:rPr>
                <w:bCs/>
                <w:sz w:val="24"/>
              </w:rPr>
              <w:t>DA00</w:t>
            </w:r>
            <w:r>
              <w:rPr>
                <w:rFonts w:hint="eastAsia"/>
                <w:bCs/>
                <w:sz w:val="24"/>
              </w:rPr>
              <w:t>6）排放。</w:t>
            </w:r>
          </w:p>
          <w:p w14:paraId="3F5707EA">
            <w:pPr>
              <w:adjustRightInd w:val="0"/>
              <w:snapToGrid w:val="0"/>
              <w:spacing w:line="360" w:lineRule="auto"/>
              <w:ind w:firstLine="480" w:firstLineChars="200"/>
              <w:rPr>
                <w:bCs/>
                <w:sz w:val="24"/>
                <w:lang w:val="pt-BR"/>
              </w:rPr>
            </w:pPr>
            <w:r>
              <w:rPr>
                <w:rFonts w:hint="eastAsia"/>
                <w:bCs/>
                <w:sz w:val="24"/>
              </w:rPr>
              <w:t>参照《排放源统计调查及产排污核算方法和系数手册》中“</w:t>
            </w:r>
            <w:r>
              <w:rPr>
                <w:bCs/>
                <w:sz w:val="24"/>
              </w:rPr>
              <w:t>3021</w:t>
            </w:r>
            <w:r>
              <w:rPr>
                <w:rFonts w:hint="eastAsia"/>
                <w:bCs/>
                <w:sz w:val="24"/>
              </w:rPr>
              <w:t>水泥制品制造（含</w:t>
            </w:r>
            <w:r>
              <w:rPr>
                <w:bCs/>
                <w:sz w:val="24"/>
              </w:rPr>
              <w:t>3022</w:t>
            </w:r>
            <w:r>
              <w:rPr>
                <w:rFonts w:hint="eastAsia"/>
                <w:bCs/>
                <w:sz w:val="24"/>
              </w:rPr>
              <w:t>砼结构构件制造、</w:t>
            </w:r>
            <w:r>
              <w:rPr>
                <w:bCs/>
                <w:sz w:val="24"/>
              </w:rPr>
              <w:t>3029</w:t>
            </w:r>
            <w:r>
              <w:rPr>
                <w:rFonts w:hint="eastAsia"/>
                <w:bCs/>
                <w:sz w:val="24"/>
              </w:rPr>
              <w:t>其他水泥类似制品制造）行业系数手册”中物料输送，颗粒物产污系数：</w:t>
            </w:r>
            <w:r>
              <w:rPr>
                <w:bCs/>
                <w:sz w:val="24"/>
              </w:rPr>
              <w:t>0.12kg/t</w:t>
            </w:r>
            <w:r>
              <w:rPr>
                <w:rFonts w:hint="eastAsia"/>
                <w:bCs/>
                <w:sz w:val="24"/>
              </w:rPr>
              <w:t>－产品。本项目转移至独立产品仓的产品数量</w:t>
            </w:r>
            <w:r>
              <w:rPr>
                <w:bCs/>
                <w:sz w:val="24"/>
              </w:rPr>
              <w:t>125000t/a</w:t>
            </w:r>
            <w:r>
              <w:rPr>
                <w:rFonts w:hint="eastAsia"/>
                <w:bCs/>
                <w:sz w:val="24"/>
              </w:rPr>
              <w:t>，粉尘产生量为</w:t>
            </w:r>
            <w:r>
              <w:rPr>
                <w:bCs/>
                <w:sz w:val="24"/>
              </w:rPr>
              <w:t>15t/a</w:t>
            </w:r>
            <w:r>
              <w:rPr>
                <w:rFonts w:hint="eastAsia"/>
                <w:bCs/>
                <w:sz w:val="24"/>
              </w:rPr>
              <w:t>。</w:t>
            </w:r>
          </w:p>
          <w:p w14:paraId="08D77E8B">
            <w:pPr>
              <w:adjustRightInd w:val="0"/>
              <w:snapToGrid w:val="0"/>
              <w:spacing w:line="360" w:lineRule="auto"/>
              <w:ind w:firstLine="480" w:firstLineChars="200"/>
              <w:rPr>
                <w:sz w:val="24"/>
              </w:rPr>
            </w:pPr>
            <w:r>
              <w:rPr>
                <w:rFonts w:hint="eastAsia"/>
                <w:sz w:val="24"/>
              </w:rPr>
              <w:t>除尘器的设计最大风量为</w:t>
            </w:r>
            <w:r>
              <w:rPr>
                <w:sz w:val="24"/>
              </w:rPr>
              <w:t>4320m</w:t>
            </w:r>
            <w:r>
              <w:rPr>
                <w:sz w:val="24"/>
                <w:vertAlign w:val="superscript"/>
              </w:rPr>
              <w:t>3</w:t>
            </w:r>
            <w:r>
              <w:rPr>
                <w:sz w:val="24"/>
              </w:rPr>
              <w:t>/h</w:t>
            </w:r>
            <w:r>
              <w:rPr>
                <w:rFonts w:hint="eastAsia"/>
                <w:sz w:val="24"/>
              </w:rPr>
              <w:t>，出口颗粒物最大浓度为</w:t>
            </w:r>
            <w:r>
              <w:rPr>
                <w:sz w:val="24"/>
              </w:rPr>
              <w:t>10mg/m</w:t>
            </w:r>
            <w:r>
              <w:rPr>
                <w:sz w:val="24"/>
                <w:vertAlign w:val="superscript"/>
              </w:rPr>
              <w:t>3</w:t>
            </w:r>
            <w:r>
              <w:rPr>
                <w:rFonts w:hint="eastAsia"/>
                <w:sz w:val="24"/>
              </w:rPr>
              <w:t>，运行时间为</w:t>
            </w:r>
            <w:r>
              <w:rPr>
                <w:sz w:val="24"/>
              </w:rPr>
              <w:t>900h/a</w:t>
            </w:r>
            <w:r>
              <w:rPr>
                <w:rFonts w:hint="eastAsia"/>
                <w:sz w:val="24"/>
              </w:rPr>
              <w:t>，经计算颗粒物最大排放量为</w:t>
            </w:r>
            <w:r>
              <w:rPr>
                <w:sz w:val="24"/>
              </w:rPr>
              <w:t>0.039t/a</w:t>
            </w:r>
            <w:r>
              <w:rPr>
                <w:rFonts w:hint="eastAsia"/>
                <w:sz w:val="24"/>
              </w:rPr>
              <w:t>，除尘效率为</w:t>
            </w:r>
            <w:r>
              <w:rPr>
                <w:sz w:val="24"/>
              </w:rPr>
              <w:t>99.7%</w:t>
            </w:r>
            <w:r>
              <w:rPr>
                <w:rFonts w:hint="eastAsia"/>
                <w:sz w:val="24"/>
              </w:rPr>
              <w:t>。</w:t>
            </w:r>
          </w:p>
          <w:p w14:paraId="4E1E4880">
            <w:pPr>
              <w:adjustRightInd w:val="0"/>
              <w:snapToGrid w:val="0"/>
              <w:spacing w:line="360" w:lineRule="auto"/>
              <w:ind w:firstLine="480" w:firstLineChars="200"/>
              <w:rPr>
                <w:bCs/>
                <w:color w:val="FF0000"/>
                <w:sz w:val="24"/>
              </w:rPr>
            </w:pPr>
            <w:r>
              <w:rPr>
                <w:rFonts w:hint="eastAsia"/>
                <w:sz w:val="24"/>
              </w:rPr>
              <w:t>综上，本项目运营期无组织颗粒物排放量</w:t>
            </w:r>
            <w:r>
              <w:rPr>
                <w:sz w:val="24"/>
              </w:rPr>
              <w:t>0.</w:t>
            </w:r>
            <w:r>
              <w:rPr>
                <w:rFonts w:hint="eastAsia"/>
                <w:sz w:val="24"/>
              </w:rPr>
              <w:t>185</w:t>
            </w:r>
            <w:r>
              <w:rPr>
                <w:sz w:val="24"/>
              </w:rPr>
              <w:t>t/a</w:t>
            </w:r>
            <w:r>
              <w:rPr>
                <w:rFonts w:hint="eastAsia"/>
                <w:sz w:val="24"/>
              </w:rPr>
              <w:t>，有组织排放颗粒物排放量</w:t>
            </w:r>
            <w:r>
              <w:rPr>
                <w:sz w:val="24"/>
              </w:rPr>
              <w:t>=</w:t>
            </w:r>
            <w:r>
              <w:rPr>
                <w:rFonts w:hint="eastAsia"/>
                <w:sz w:val="24"/>
              </w:rPr>
              <w:t>0.624</w:t>
            </w:r>
            <w:r>
              <w:rPr>
                <w:sz w:val="24"/>
              </w:rPr>
              <w:t>+0.</w:t>
            </w:r>
            <w:r>
              <w:rPr>
                <w:rFonts w:hint="eastAsia"/>
                <w:sz w:val="24"/>
              </w:rPr>
              <w:t>207</w:t>
            </w:r>
            <w:r>
              <w:rPr>
                <w:sz w:val="24"/>
              </w:rPr>
              <w:t>+0.</w:t>
            </w:r>
            <w:r>
              <w:rPr>
                <w:rFonts w:hint="eastAsia"/>
                <w:sz w:val="24"/>
              </w:rPr>
              <w:t>0076</w:t>
            </w:r>
            <w:r>
              <w:rPr>
                <w:sz w:val="24"/>
              </w:rPr>
              <w:t>+0.</w:t>
            </w:r>
            <w:r>
              <w:rPr>
                <w:rFonts w:hint="eastAsia"/>
                <w:sz w:val="24"/>
              </w:rPr>
              <w:t>0048</w:t>
            </w:r>
            <w:r>
              <w:rPr>
                <w:sz w:val="24"/>
              </w:rPr>
              <w:t>+0.</w:t>
            </w:r>
            <w:r>
              <w:rPr>
                <w:rFonts w:hint="eastAsia"/>
                <w:sz w:val="24"/>
              </w:rPr>
              <w:t>13</w:t>
            </w:r>
            <w:r>
              <w:rPr>
                <w:sz w:val="24"/>
              </w:rPr>
              <w:t>+0.0</w:t>
            </w:r>
            <w:r>
              <w:rPr>
                <w:rFonts w:hint="eastAsia"/>
                <w:sz w:val="24"/>
              </w:rPr>
              <w:t>20+0.045t/a</w:t>
            </w:r>
            <w:r>
              <w:rPr>
                <w:sz w:val="24"/>
              </w:rPr>
              <w:t>+0.039=</w:t>
            </w:r>
            <w:r>
              <w:rPr>
                <w:rFonts w:hint="eastAsia"/>
                <w:sz w:val="24"/>
              </w:rPr>
              <w:t>1.077</w:t>
            </w:r>
            <w:r>
              <w:rPr>
                <w:sz w:val="24"/>
              </w:rPr>
              <w:t>t/a</w:t>
            </w:r>
            <w:r>
              <w:rPr>
                <w:rFonts w:hint="eastAsia"/>
                <w:sz w:val="24"/>
              </w:rPr>
              <w:t>。</w:t>
            </w:r>
          </w:p>
          <w:bookmarkEnd w:id="14"/>
          <w:p w14:paraId="7AD04491">
            <w:pPr>
              <w:adjustRightInd w:val="0"/>
              <w:snapToGrid w:val="0"/>
              <w:spacing w:line="360" w:lineRule="auto"/>
              <w:ind w:firstLine="480" w:firstLineChars="200"/>
              <w:rPr>
                <w:bCs/>
                <w:sz w:val="24"/>
              </w:rPr>
            </w:pPr>
            <w:r>
              <w:rPr>
                <w:rFonts w:hint="eastAsia"/>
                <w:bCs/>
                <w:sz w:val="24"/>
              </w:rPr>
              <w:t>本项目污染物产排情况见表</w:t>
            </w:r>
            <w:r>
              <w:rPr>
                <w:bCs/>
                <w:sz w:val="24"/>
              </w:rPr>
              <w:t>4-</w:t>
            </w:r>
            <w:r>
              <w:rPr>
                <w:rFonts w:hint="eastAsia"/>
                <w:bCs/>
                <w:sz w:val="24"/>
              </w:rPr>
              <w:t>3。</w:t>
            </w:r>
          </w:p>
          <w:p w14:paraId="22E3685D">
            <w:pPr>
              <w:adjustRightInd w:val="0"/>
              <w:snapToGrid w:val="0"/>
              <w:spacing w:line="360" w:lineRule="auto"/>
              <w:ind w:firstLine="482" w:firstLineChars="200"/>
              <w:rPr>
                <w:bCs/>
                <w:sz w:val="24"/>
              </w:rPr>
            </w:pPr>
            <w:r>
              <w:rPr>
                <w:rFonts w:hint="eastAsia"/>
                <w:b/>
                <w:sz w:val="24"/>
              </w:rPr>
              <w:t>（8）</w:t>
            </w:r>
            <w:r>
              <w:rPr>
                <w:rFonts w:hint="eastAsia"/>
                <w:b/>
                <w:bCs/>
                <w:sz w:val="24"/>
              </w:rPr>
              <w:t xml:space="preserve">运输车辆及场内非道路移动机械尾气 </w:t>
            </w:r>
          </w:p>
          <w:p w14:paraId="09276AAA">
            <w:pPr>
              <w:adjustRightInd w:val="0"/>
              <w:snapToGrid w:val="0"/>
              <w:spacing w:line="360" w:lineRule="auto"/>
              <w:ind w:firstLine="480" w:firstLineChars="200"/>
              <w:rPr>
                <w:bCs/>
                <w:sz w:val="24"/>
              </w:rPr>
            </w:pPr>
            <w:r>
              <w:rPr>
                <w:rFonts w:hint="eastAsia"/>
                <w:bCs/>
                <w:sz w:val="24"/>
              </w:rPr>
              <w:t>本项目原料和产品外部运输使用的封闭式自卸汽车和全封闭罐车。场内非道路移动机械为上料用的装载机，选用</w:t>
            </w:r>
            <w:r>
              <w:rPr>
                <w:bCs/>
                <w:sz w:val="24"/>
              </w:rPr>
              <w:t>DY-940</w:t>
            </w:r>
            <w:r>
              <w:rPr>
                <w:rFonts w:hint="eastAsia"/>
                <w:bCs/>
                <w:sz w:val="24"/>
              </w:rPr>
              <w:t>新装载机，数量1台。本项目道路运输汽车为重型汽车，采用国六排放标准，非道路移动柴油机械执行第四阶段排放标准。使用过程中加强非道路移动机械的维修、保养，使其保持良好的技术状态，保证其污染控制装置处于正常技术状态。</w:t>
            </w:r>
          </w:p>
          <w:p w14:paraId="5CFBF08D">
            <w:pPr>
              <w:spacing w:line="360" w:lineRule="auto"/>
              <w:ind w:firstLine="482" w:firstLineChars="200"/>
              <w:rPr>
                <w:b/>
                <w:sz w:val="24"/>
              </w:rPr>
            </w:pPr>
            <w:bookmarkStart w:id="15" w:name="_Hlk166587661"/>
            <w:r>
              <w:rPr>
                <w:rFonts w:hint="eastAsia"/>
                <w:b/>
                <w:sz w:val="24"/>
              </w:rPr>
              <w:t>2</w:t>
            </w:r>
            <w:r>
              <w:rPr>
                <w:b/>
                <w:sz w:val="24"/>
              </w:rPr>
              <w:t>. 本项目污染物产排放情况</w:t>
            </w:r>
          </w:p>
          <w:p w14:paraId="48483F98">
            <w:pPr>
              <w:widowControl/>
              <w:spacing w:line="360" w:lineRule="auto"/>
              <w:ind w:firstLine="480" w:firstLineChars="200"/>
              <w:rPr>
                <w:bCs/>
                <w:sz w:val="24"/>
              </w:rPr>
            </w:pPr>
            <w:r>
              <w:rPr>
                <w:bCs/>
                <w:sz w:val="24"/>
              </w:rPr>
              <w:t>本项目排放口基本情况见表4-</w:t>
            </w:r>
            <w:r>
              <w:rPr>
                <w:rFonts w:hint="eastAsia"/>
                <w:bCs/>
                <w:sz w:val="24"/>
              </w:rPr>
              <w:t>4</w:t>
            </w:r>
            <w:r>
              <w:rPr>
                <w:bCs/>
                <w:sz w:val="24"/>
              </w:rPr>
              <w:t>。</w:t>
            </w:r>
          </w:p>
          <w:p w14:paraId="70AE6A8B">
            <w:pPr>
              <w:widowControl/>
              <w:spacing w:line="360" w:lineRule="auto"/>
              <w:jc w:val="center"/>
              <w:outlineLvl w:val="0"/>
              <w:rPr>
                <w:b/>
                <w:szCs w:val="21"/>
              </w:rPr>
            </w:pPr>
          </w:p>
          <w:p w14:paraId="33579211">
            <w:pPr>
              <w:widowControl/>
              <w:spacing w:line="360" w:lineRule="auto"/>
              <w:jc w:val="center"/>
              <w:outlineLvl w:val="0"/>
              <w:rPr>
                <w:b/>
                <w:szCs w:val="21"/>
              </w:rPr>
            </w:pPr>
          </w:p>
          <w:p w14:paraId="30D85EE3">
            <w:pPr>
              <w:widowControl/>
              <w:spacing w:line="360" w:lineRule="auto"/>
              <w:jc w:val="center"/>
              <w:outlineLvl w:val="0"/>
              <w:rPr>
                <w:b/>
                <w:szCs w:val="21"/>
              </w:rPr>
            </w:pPr>
          </w:p>
          <w:p w14:paraId="16BC730D">
            <w:pPr>
              <w:widowControl/>
              <w:spacing w:line="360" w:lineRule="auto"/>
              <w:jc w:val="center"/>
              <w:outlineLvl w:val="0"/>
              <w:rPr>
                <w:b/>
                <w:szCs w:val="21"/>
              </w:rPr>
            </w:pPr>
            <w:r>
              <w:rPr>
                <w:b/>
                <w:szCs w:val="21"/>
              </w:rPr>
              <w:t>表4-</w:t>
            </w:r>
            <w:r>
              <w:rPr>
                <w:rFonts w:hint="eastAsia"/>
                <w:b/>
                <w:szCs w:val="21"/>
              </w:rPr>
              <w:t>4</w:t>
            </w:r>
            <w:r>
              <w:rPr>
                <w:b/>
                <w:szCs w:val="21"/>
              </w:rPr>
              <w:t>废气污染物排放口基本情况</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428"/>
              <w:gridCol w:w="1449"/>
              <w:gridCol w:w="1832"/>
              <w:gridCol w:w="1861"/>
              <w:gridCol w:w="714"/>
              <w:gridCol w:w="804"/>
              <w:gridCol w:w="684"/>
              <w:gridCol w:w="432"/>
            </w:tblGrid>
            <w:tr w14:paraId="69DDB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3" w:hRule="atLeast"/>
                <w:jc w:val="center"/>
              </w:trPr>
              <w:tc>
                <w:tcPr>
                  <w:tcW w:w="261" w:type="pct"/>
                  <w:vMerge w:val="restart"/>
                  <w:vAlign w:val="center"/>
                </w:tcPr>
                <w:p w14:paraId="5696827A">
                  <w:pPr>
                    <w:widowControl/>
                    <w:jc w:val="center"/>
                    <w:rPr>
                      <w:szCs w:val="21"/>
                    </w:rPr>
                  </w:pPr>
                  <w:r>
                    <w:rPr>
                      <w:rFonts w:hint="eastAsia"/>
                      <w:szCs w:val="21"/>
                    </w:rPr>
                    <w:t>位置</w:t>
                  </w:r>
                </w:p>
              </w:tc>
              <w:tc>
                <w:tcPr>
                  <w:tcW w:w="883" w:type="pct"/>
                  <w:vMerge w:val="restart"/>
                  <w:vAlign w:val="center"/>
                </w:tcPr>
                <w:p w14:paraId="67186A78">
                  <w:pPr>
                    <w:widowControl/>
                    <w:snapToGrid w:val="0"/>
                    <w:jc w:val="center"/>
                    <w:rPr>
                      <w:szCs w:val="21"/>
                    </w:rPr>
                  </w:pPr>
                  <w:r>
                    <w:rPr>
                      <w:rFonts w:hint="eastAsia"/>
                      <w:szCs w:val="21"/>
                    </w:rPr>
                    <w:t>污染源</w:t>
                  </w:r>
                </w:p>
              </w:tc>
              <w:tc>
                <w:tcPr>
                  <w:tcW w:w="2249" w:type="pct"/>
                  <w:gridSpan w:val="2"/>
                  <w:vAlign w:val="center"/>
                </w:tcPr>
                <w:p w14:paraId="2EB969DE">
                  <w:pPr>
                    <w:widowControl/>
                    <w:snapToGrid w:val="0"/>
                    <w:jc w:val="center"/>
                    <w:rPr>
                      <w:szCs w:val="21"/>
                    </w:rPr>
                  </w:pPr>
                  <w:r>
                    <w:rPr>
                      <w:rFonts w:hint="eastAsia"/>
                      <w:szCs w:val="21"/>
                    </w:rPr>
                    <w:t>排气筒底部中心坐标</w:t>
                  </w:r>
                </w:p>
              </w:tc>
              <w:tc>
                <w:tcPr>
                  <w:tcW w:w="435" w:type="pct"/>
                  <w:vMerge w:val="restart"/>
                  <w:vAlign w:val="center"/>
                </w:tcPr>
                <w:p w14:paraId="1A1F2F2F">
                  <w:pPr>
                    <w:widowControl/>
                    <w:snapToGrid w:val="0"/>
                    <w:jc w:val="center"/>
                    <w:rPr>
                      <w:szCs w:val="21"/>
                    </w:rPr>
                  </w:pPr>
                  <w:r>
                    <w:rPr>
                      <w:rFonts w:hint="eastAsia"/>
                      <w:szCs w:val="21"/>
                    </w:rPr>
                    <w:t>排气筒底部海拔高度</w:t>
                  </w:r>
                  <w:r>
                    <w:rPr>
                      <w:szCs w:val="21"/>
                    </w:rPr>
                    <w:t>/m</w:t>
                  </w:r>
                </w:p>
              </w:tc>
              <w:tc>
                <w:tcPr>
                  <w:tcW w:w="490" w:type="pct"/>
                  <w:vMerge w:val="restart"/>
                  <w:vAlign w:val="center"/>
                </w:tcPr>
                <w:p w14:paraId="3961E721">
                  <w:pPr>
                    <w:widowControl/>
                    <w:snapToGrid w:val="0"/>
                    <w:jc w:val="center"/>
                    <w:rPr>
                      <w:szCs w:val="21"/>
                    </w:rPr>
                  </w:pPr>
                  <w:r>
                    <w:rPr>
                      <w:rFonts w:hint="eastAsia"/>
                      <w:szCs w:val="21"/>
                    </w:rPr>
                    <w:t>排气筒高度</w:t>
                  </w:r>
                  <w:r>
                    <w:rPr>
                      <w:szCs w:val="21"/>
                    </w:rPr>
                    <w:t>/m</w:t>
                  </w:r>
                </w:p>
              </w:tc>
              <w:tc>
                <w:tcPr>
                  <w:tcW w:w="417" w:type="pct"/>
                  <w:vMerge w:val="restart"/>
                  <w:vAlign w:val="center"/>
                </w:tcPr>
                <w:p w14:paraId="7BECBAA5">
                  <w:pPr>
                    <w:widowControl/>
                    <w:snapToGrid w:val="0"/>
                    <w:jc w:val="center"/>
                    <w:rPr>
                      <w:szCs w:val="21"/>
                    </w:rPr>
                  </w:pPr>
                  <w:r>
                    <w:rPr>
                      <w:rFonts w:hint="eastAsia"/>
                      <w:szCs w:val="21"/>
                    </w:rPr>
                    <w:t>排气筒出口内径</w:t>
                  </w:r>
                  <w:r>
                    <w:rPr>
                      <w:szCs w:val="21"/>
                    </w:rPr>
                    <w:t>/m</w:t>
                  </w:r>
                </w:p>
              </w:tc>
              <w:tc>
                <w:tcPr>
                  <w:tcW w:w="263" w:type="pct"/>
                  <w:vMerge w:val="restart"/>
                  <w:vAlign w:val="center"/>
                </w:tcPr>
                <w:p w14:paraId="43C14E18">
                  <w:pPr>
                    <w:widowControl/>
                    <w:snapToGrid w:val="0"/>
                    <w:jc w:val="center"/>
                    <w:rPr>
                      <w:szCs w:val="21"/>
                    </w:rPr>
                  </w:pPr>
                  <w:r>
                    <w:rPr>
                      <w:rFonts w:hint="eastAsia"/>
                      <w:szCs w:val="21"/>
                    </w:rPr>
                    <w:t>烟气温度</w:t>
                  </w:r>
                  <w:r>
                    <w:rPr>
                      <w:szCs w:val="21"/>
                    </w:rPr>
                    <w:t>/</w:t>
                  </w:r>
                  <w:r>
                    <w:rPr>
                      <w:rFonts w:hint="eastAsia"/>
                      <w:szCs w:val="21"/>
                    </w:rPr>
                    <w:t>℃</w:t>
                  </w:r>
                </w:p>
              </w:tc>
            </w:tr>
            <w:tr w14:paraId="34595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261" w:type="pct"/>
                  <w:vMerge w:val="continue"/>
                  <w:vAlign w:val="center"/>
                </w:tcPr>
                <w:p w14:paraId="799547F3">
                  <w:pPr>
                    <w:widowControl/>
                    <w:snapToGrid w:val="0"/>
                    <w:jc w:val="center"/>
                    <w:rPr>
                      <w:szCs w:val="21"/>
                    </w:rPr>
                  </w:pPr>
                </w:p>
              </w:tc>
              <w:tc>
                <w:tcPr>
                  <w:tcW w:w="883" w:type="pct"/>
                  <w:vMerge w:val="continue"/>
                  <w:vAlign w:val="center"/>
                </w:tcPr>
                <w:p w14:paraId="6EF62F7C">
                  <w:pPr>
                    <w:widowControl/>
                    <w:snapToGrid w:val="0"/>
                    <w:jc w:val="center"/>
                    <w:rPr>
                      <w:szCs w:val="21"/>
                    </w:rPr>
                  </w:pPr>
                </w:p>
              </w:tc>
              <w:tc>
                <w:tcPr>
                  <w:tcW w:w="1116" w:type="pct"/>
                  <w:vAlign w:val="center"/>
                </w:tcPr>
                <w:p w14:paraId="75888BC6">
                  <w:pPr>
                    <w:widowControl/>
                    <w:snapToGrid w:val="0"/>
                    <w:jc w:val="center"/>
                    <w:rPr>
                      <w:szCs w:val="21"/>
                    </w:rPr>
                  </w:pPr>
                  <w:r>
                    <w:rPr>
                      <w:rFonts w:hint="eastAsia"/>
                      <w:szCs w:val="21"/>
                    </w:rPr>
                    <w:t>经度</w:t>
                  </w:r>
                </w:p>
              </w:tc>
              <w:tc>
                <w:tcPr>
                  <w:tcW w:w="1134" w:type="pct"/>
                  <w:vAlign w:val="center"/>
                </w:tcPr>
                <w:p w14:paraId="12672225">
                  <w:pPr>
                    <w:widowControl/>
                    <w:snapToGrid w:val="0"/>
                    <w:jc w:val="center"/>
                    <w:rPr>
                      <w:szCs w:val="21"/>
                    </w:rPr>
                  </w:pPr>
                  <w:r>
                    <w:rPr>
                      <w:rFonts w:hint="eastAsia"/>
                      <w:szCs w:val="21"/>
                    </w:rPr>
                    <w:t>纬度</w:t>
                  </w:r>
                </w:p>
              </w:tc>
              <w:tc>
                <w:tcPr>
                  <w:tcW w:w="435" w:type="pct"/>
                  <w:vMerge w:val="continue"/>
                  <w:vAlign w:val="center"/>
                </w:tcPr>
                <w:p w14:paraId="1995989F">
                  <w:pPr>
                    <w:widowControl/>
                    <w:snapToGrid w:val="0"/>
                    <w:jc w:val="center"/>
                    <w:rPr>
                      <w:szCs w:val="21"/>
                    </w:rPr>
                  </w:pPr>
                </w:p>
              </w:tc>
              <w:tc>
                <w:tcPr>
                  <w:tcW w:w="490" w:type="pct"/>
                  <w:vMerge w:val="continue"/>
                  <w:vAlign w:val="center"/>
                </w:tcPr>
                <w:p w14:paraId="1B0CC190">
                  <w:pPr>
                    <w:widowControl/>
                    <w:snapToGrid w:val="0"/>
                    <w:jc w:val="center"/>
                    <w:rPr>
                      <w:szCs w:val="21"/>
                    </w:rPr>
                  </w:pPr>
                </w:p>
              </w:tc>
              <w:tc>
                <w:tcPr>
                  <w:tcW w:w="417" w:type="pct"/>
                  <w:vMerge w:val="continue"/>
                  <w:vAlign w:val="center"/>
                </w:tcPr>
                <w:p w14:paraId="536A74D2">
                  <w:pPr>
                    <w:widowControl/>
                    <w:snapToGrid w:val="0"/>
                    <w:jc w:val="center"/>
                    <w:rPr>
                      <w:szCs w:val="21"/>
                    </w:rPr>
                  </w:pPr>
                </w:p>
              </w:tc>
              <w:tc>
                <w:tcPr>
                  <w:tcW w:w="263" w:type="pct"/>
                  <w:vMerge w:val="continue"/>
                  <w:vAlign w:val="center"/>
                </w:tcPr>
                <w:p w14:paraId="36108F61">
                  <w:pPr>
                    <w:widowControl/>
                    <w:snapToGrid w:val="0"/>
                    <w:jc w:val="center"/>
                    <w:rPr>
                      <w:szCs w:val="21"/>
                    </w:rPr>
                  </w:pPr>
                </w:p>
              </w:tc>
            </w:tr>
            <w:tr w14:paraId="39CC8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4" w:hRule="atLeast"/>
                <w:jc w:val="center"/>
              </w:trPr>
              <w:tc>
                <w:tcPr>
                  <w:tcW w:w="261" w:type="pct"/>
                  <w:vAlign w:val="center"/>
                </w:tcPr>
                <w:p w14:paraId="62480EF0">
                  <w:pPr>
                    <w:pStyle w:val="584"/>
                    <w:widowControl/>
                    <w:jc w:val="center"/>
                    <w:rPr>
                      <w:rFonts w:ascii="Times New Roman" w:hAnsi="Times New Roman"/>
                      <w:szCs w:val="21"/>
                    </w:rPr>
                  </w:pPr>
                  <w:r>
                    <w:rPr>
                      <w:rFonts w:hint="eastAsia" w:ascii="Times New Roman" w:hAnsi="Times New Roman"/>
                      <w:szCs w:val="21"/>
                    </w:rPr>
                    <w:t>厂房内</w:t>
                  </w:r>
                </w:p>
              </w:tc>
              <w:tc>
                <w:tcPr>
                  <w:tcW w:w="883" w:type="pct"/>
                  <w:vAlign w:val="center"/>
                </w:tcPr>
                <w:p w14:paraId="0171E695">
                  <w:pPr>
                    <w:widowControl/>
                    <w:jc w:val="center"/>
                    <w:rPr>
                      <w:szCs w:val="21"/>
                    </w:rPr>
                  </w:pPr>
                  <w:r>
                    <w:rPr>
                      <w:rFonts w:hint="eastAsia"/>
                      <w:szCs w:val="21"/>
                    </w:rPr>
                    <w:t>砂库出料排气筒（</w:t>
                  </w:r>
                  <w:r>
                    <w:rPr>
                      <w:rFonts w:hint="eastAsia"/>
                      <w:bCs/>
                      <w:kern w:val="0"/>
                      <w:szCs w:val="21"/>
                    </w:rPr>
                    <w:t>DA001</w:t>
                  </w:r>
                  <w:r>
                    <w:rPr>
                      <w:rFonts w:hint="eastAsia"/>
                      <w:szCs w:val="21"/>
                    </w:rPr>
                    <w:t>）</w:t>
                  </w:r>
                </w:p>
              </w:tc>
              <w:tc>
                <w:tcPr>
                  <w:tcW w:w="1116" w:type="pct"/>
                  <w:vAlign w:val="center"/>
                </w:tcPr>
                <w:p w14:paraId="09A789FF">
                  <w:pPr>
                    <w:widowControl/>
                    <w:jc w:val="center"/>
                    <w:rPr>
                      <w:sz w:val="20"/>
                      <w:szCs w:val="20"/>
                    </w:rPr>
                  </w:pPr>
                  <w:r>
                    <w:rPr>
                      <w:rFonts w:hint="eastAsia"/>
                      <w:sz w:val="20"/>
                      <w:szCs w:val="20"/>
                    </w:rPr>
                    <w:t>111°8′13.36347″</w:t>
                  </w:r>
                </w:p>
              </w:tc>
              <w:tc>
                <w:tcPr>
                  <w:tcW w:w="1134" w:type="pct"/>
                  <w:vAlign w:val="center"/>
                </w:tcPr>
                <w:p w14:paraId="7B65A106">
                  <w:pPr>
                    <w:widowControl/>
                    <w:jc w:val="center"/>
                    <w:rPr>
                      <w:sz w:val="20"/>
                      <w:szCs w:val="20"/>
                    </w:rPr>
                  </w:pPr>
                  <w:r>
                    <w:rPr>
                      <w:rFonts w:hint="eastAsia"/>
                      <w:sz w:val="20"/>
                      <w:szCs w:val="20"/>
                    </w:rPr>
                    <w:t>37°48′18.15130″</w:t>
                  </w:r>
                </w:p>
              </w:tc>
              <w:tc>
                <w:tcPr>
                  <w:tcW w:w="435" w:type="pct"/>
                  <w:vAlign w:val="center"/>
                </w:tcPr>
                <w:p w14:paraId="04DF6107">
                  <w:pPr>
                    <w:widowControl/>
                    <w:jc w:val="center"/>
                    <w:rPr>
                      <w:szCs w:val="21"/>
                    </w:rPr>
                  </w:pPr>
                  <w:r>
                    <w:rPr>
                      <w:rFonts w:hint="eastAsia"/>
                      <w:szCs w:val="21"/>
                    </w:rPr>
                    <w:t>1125</w:t>
                  </w:r>
                </w:p>
              </w:tc>
              <w:tc>
                <w:tcPr>
                  <w:tcW w:w="490" w:type="pct"/>
                  <w:vAlign w:val="center"/>
                </w:tcPr>
                <w:p w14:paraId="0899EC63">
                  <w:pPr>
                    <w:widowControl/>
                    <w:jc w:val="center"/>
                    <w:rPr>
                      <w:szCs w:val="21"/>
                    </w:rPr>
                  </w:pPr>
                  <w:r>
                    <w:rPr>
                      <w:rFonts w:hint="eastAsia"/>
                      <w:szCs w:val="21"/>
                    </w:rPr>
                    <w:t>15</w:t>
                  </w:r>
                </w:p>
              </w:tc>
              <w:tc>
                <w:tcPr>
                  <w:tcW w:w="417" w:type="pct"/>
                  <w:vAlign w:val="center"/>
                </w:tcPr>
                <w:p w14:paraId="140E5734">
                  <w:pPr>
                    <w:widowControl/>
                    <w:jc w:val="center"/>
                    <w:rPr>
                      <w:szCs w:val="21"/>
                    </w:rPr>
                  </w:pPr>
                  <w:r>
                    <w:rPr>
                      <w:szCs w:val="21"/>
                    </w:rPr>
                    <w:t>0.7</w:t>
                  </w:r>
                  <w:r>
                    <w:rPr>
                      <w:rFonts w:hint="eastAsia"/>
                      <w:szCs w:val="21"/>
                    </w:rPr>
                    <w:t>5</w:t>
                  </w:r>
                </w:p>
              </w:tc>
              <w:tc>
                <w:tcPr>
                  <w:tcW w:w="263" w:type="pct"/>
                  <w:vAlign w:val="center"/>
                </w:tcPr>
                <w:p w14:paraId="05341314">
                  <w:pPr>
                    <w:widowControl/>
                    <w:jc w:val="center"/>
                    <w:rPr>
                      <w:szCs w:val="21"/>
                    </w:rPr>
                  </w:pPr>
                  <w:r>
                    <w:rPr>
                      <w:rFonts w:hint="eastAsia"/>
                      <w:szCs w:val="21"/>
                    </w:rPr>
                    <w:t>2</w:t>
                  </w:r>
                  <w:r>
                    <w:rPr>
                      <w:szCs w:val="21"/>
                    </w:rPr>
                    <w:t>0</w:t>
                  </w:r>
                </w:p>
              </w:tc>
            </w:tr>
            <w:tr w14:paraId="580F9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4" w:hRule="atLeast"/>
                <w:jc w:val="center"/>
              </w:trPr>
              <w:tc>
                <w:tcPr>
                  <w:tcW w:w="261" w:type="pct"/>
                  <w:vAlign w:val="center"/>
                </w:tcPr>
                <w:p w14:paraId="767E1EDC">
                  <w:pPr>
                    <w:pStyle w:val="584"/>
                    <w:widowControl/>
                    <w:jc w:val="center"/>
                    <w:rPr>
                      <w:rFonts w:ascii="Times New Roman" w:hAnsi="Times New Roman"/>
                      <w:szCs w:val="21"/>
                    </w:rPr>
                  </w:pPr>
                  <w:r>
                    <w:rPr>
                      <w:rFonts w:hint="eastAsia" w:ascii="Times New Roman" w:hAnsi="Times New Roman"/>
                      <w:szCs w:val="21"/>
                    </w:rPr>
                    <w:t>厂房内</w:t>
                  </w:r>
                </w:p>
              </w:tc>
              <w:tc>
                <w:tcPr>
                  <w:tcW w:w="883" w:type="pct"/>
                  <w:vAlign w:val="center"/>
                </w:tcPr>
                <w:p w14:paraId="5F72D967">
                  <w:pPr>
                    <w:widowControl/>
                    <w:jc w:val="center"/>
                    <w:rPr>
                      <w:szCs w:val="21"/>
                    </w:rPr>
                  </w:pPr>
                  <w:r>
                    <w:rPr>
                      <w:rFonts w:hint="eastAsia"/>
                      <w:szCs w:val="21"/>
                    </w:rPr>
                    <w:t>主楼除尘器+包装机除尘器+主楼散装除尘器排气筒（DA002）</w:t>
                  </w:r>
                </w:p>
              </w:tc>
              <w:tc>
                <w:tcPr>
                  <w:tcW w:w="1116" w:type="pct"/>
                  <w:vAlign w:val="center"/>
                </w:tcPr>
                <w:p w14:paraId="540B2B72">
                  <w:pPr>
                    <w:widowControl/>
                    <w:jc w:val="center"/>
                    <w:rPr>
                      <w:sz w:val="20"/>
                      <w:szCs w:val="20"/>
                    </w:rPr>
                  </w:pPr>
                  <w:r>
                    <w:rPr>
                      <w:rFonts w:hint="eastAsia"/>
                      <w:sz w:val="20"/>
                      <w:szCs w:val="20"/>
                    </w:rPr>
                    <w:t>111°8′13.15587″</w:t>
                  </w:r>
                </w:p>
              </w:tc>
              <w:tc>
                <w:tcPr>
                  <w:tcW w:w="1134" w:type="pct"/>
                  <w:vAlign w:val="center"/>
                </w:tcPr>
                <w:p w14:paraId="4B8E84E3">
                  <w:pPr>
                    <w:widowControl/>
                    <w:jc w:val="center"/>
                    <w:rPr>
                      <w:sz w:val="20"/>
                      <w:szCs w:val="20"/>
                    </w:rPr>
                  </w:pPr>
                  <w:r>
                    <w:rPr>
                      <w:rFonts w:hint="eastAsia"/>
                      <w:sz w:val="20"/>
                      <w:szCs w:val="20"/>
                    </w:rPr>
                    <w:t>37°48′17.33537″</w:t>
                  </w:r>
                </w:p>
              </w:tc>
              <w:tc>
                <w:tcPr>
                  <w:tcW w:w="435" w:type="pct"/>
                  <w:vAlign w:val="center"/>
                </w:tcPr>
                <w:p w14:paraId="358CD574">
                  <w:pPr>
                    <w:widowControl/>
                    <w:jc w:val="center"/>
                    <w:rPr>
                      <w:szCs w:val="21"/>
                    </w:rPr>
                  </w:pPr>
                  <w:r>
                    <w:rPr>
                      <w:rFonts w:hint="eastAsia"/>
                      <w:szCs w:val="21"/>
                    </w:rPr>
                    <w:t>1120</w:t>
                  </w:r>
                </w:p>
              </w:tc>
              <w:tc>
                <w:tcPr>
                  <w:tcW w:w="490" w:type="pct"/>
                  <w:vAlign w:val="center"/>
                </w:tcPr>
                <w:p w14:paraId="76E58693">
                  <w:pPr>
                    <w:widowControl/>
                    <w:jc w:val="center"/>
                    <w:rPr>
                      <w:szCs w:val="21"/>
                    </w:rPr>
                  </w:pPr>
                  <w:r>
                    <w:rPr>
                      <w:rFonts w:hint="eastAsia"/>
                      <w:szCs w:val="21"/>
                    </w:rPr>
                    <w:t>18</w:t>
                  </w:r>
                </w:p>
              </w:tc>
              <w:tc>
                <w:tcPr>
                  <w:tcW w:w="417" w:type="pct"/>
                  <w:vAlign w:val="center"/>
                </w:tcPr>
                <w:p w14:paraId="5E68A186">
                  <w:pPr>
                    <w:widowControl/>
                    <w:jc w:val="center"/>
                    <w:rPr>
                      <w:szCs w:val="21"/>
                    </w:rPr>
                  </w:pPr>
                  <w:r>
                    <w:rPr>
                      <w:rFonts w:hint="eastAsia"/>
                      <w:szCs w:val="21"/>
                    </w:rPr>
                    <w:t>0.6</w:t>
                  </w:r>
                </w:p>
              </w:tc>
              <w:tc>
                <w:tcPr>
                  <w:tcW w:w="263" w:type="pct"/>
                  <w:vAlign w:val="center"/>
                </w:tcPr>
                <w:p w14:paraId="6F096FB6">
                  <w:pPr>
                    <w:widowControl/>
                    <w:jc w:val="center"/>
                    <w:rPr>
                      <w:szCs w:val="21"/>
                    </w:rPr>
                  </w:pPr>
                  <w:r>
                    <w:rPr>
                      <w:rFonts w:hint="eastAsia"/>
                      <w:szCs w:val="21"/>
                    </w:rPr>
                    <w:t>20</w:t>
                  </w:r>
                </w:p>
              </w:tc>
            </w:tr>
            <w:tr w14:paraId="3D299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4" w:hRule="atLeast"/>
                <w:jc w:val="center"/>
              </w:trPr>
              <w:tc>
                <w:tcPr>
                  <w:tcW w:w="261" w:type="pct"/>
                  <w:vAlign w:val="center"/>
                </w:tcPr>
                <w:p w14:paraId="693D5353">
                  <w:pPr>
                    <w:pStyle w:val="584"/>
                    <w:widowControl/>
                    <w:jc w:val="center"/>
                    <w:rPr>
                      <w:rFonts w:ascii="Times New Roman" w:hAnsi="Times New Roman"/>
                      <w:szCs w:val="21"/>
                    </w:rPr>
                  </w:pPr>
                  <w:r>
                    <w:rPr>
                      <w:rFonts w:hint="eastAsia" w:ascii="Times New Roman" w:hAnsi="Times New Roman"/>
                      <w:szCs w:val="21"/>
                    </w:rPr>
                    <w:t>厂房外</w:t>
                  </w:r>
                </w:p>
              </w:tc>
              <w:tc>
                <w:tcPr>
                  <w:tcW w:w="883" w:type="pct"/>
                  <w:vAlign w:val="center"/>
                </w:tcPr>
                <w:p w14:paraId="70B2884B">
                  <w:pPr>
                    <w:widowControl/>
                    <w:jc w:val="center"/>
                    <w:rPr>
                      <w:szCs w:val="21"/>
                    </w:rPr>
                  </w:pPr>
                  <w:r>
                    <w:rPr>
                      <w:rFonts w:hint="eastAsia"/>
                      <w:szCs w:val="21"/>
                    </w:rPr>
                    <w:t>1#水泥筒仓除尘器排气筒（DA003）</w:t>
                  </w:r>
                </w:p>
              </w:tc>
              <w:tc>
                <w:tcPr>
                  <w:tcW w:w="1116" w:type="pct"/>
                  <w:vAlign w:val="center"/>
                </w:tcPr>
                <w:p w14:paraId="0C2389BA">
                  <w:pPr>
                    <w:widowControl/>
                    <w:jc w:val="center"/>
                    <w:rPr>
                      <w:sz w:val="20"/>
                      <w:szCs w:val="20"/>
                    </w:rPr>
                  </w:pPr>
                  <w:r>
                    <w:rPr>
                      <w:rFonts w:hint="eastAsia"/>
                      <w:sz w:val="20"/>
                      <w:szCs w:val="20"/>
                    </w:rPr>
                    <w:t>111°8′13.00137″</w:t>
                  </w:r>
                </w:p>
              </w:tc>
              <w:tc>
                <w:tcPr>
                  <w:tcW w:w="1134" w:type="pct"/>
                  <w:vAlign w:val="center"/>
                </w:tcPr>
                <w:p w14:paraId="4A676E60">
                  <w:pPr>
                    <w:widowControl/>
                    <w:jc w:val="center"/>
                    <w:rPr>
                      <w:sz w:val="20"/>
                      <w:szCs w:val="20"/>
                    </w:rPr>
                  </w:pPr>
                  <w:r>
                    <w:rPr>
                      <w:rFonts w:hint="eastAsia"/>
                      <w:sz w:val="20"/>
                      <w:szCs w:val="20"/>
                    </w:rPr>
                    <w:t>37°48′17.76023″</w:t>
                  </w:r>
                </w:p>
              </w:tc>
              <w:tc>
                <w:tcPr>
                  <w:tcW w:w="435" w:type="pct"/>
                  <w:vAlign w:val="center"/>
                </w:tcPr>
                <w:p w14:paraId="7D022F7D">
                  <w:pPr>
                    <w:widowControl/>
                    <w:jc w:val="center"/>
                    <w:rPr>
                      <w:szCs w:val="21"/>
                    </w:rPr>
                  </w:pPr>
                  <w:r>
                    <w:rPr>
                      <w:rFonts w:hint="eastAsia"/>
                      <w:szCs w:val="21"/>
                    </w:rPr>
                    <w:t>1120</w:t>
                  </w:r>
                </w:p>
              </w:tc>
              <w:tc>
                <w:tcPr>
                  <w:tcW w:w="490" w:type="pct"/>
                  <w:vAlign w:val="center"/>
                </w:tcPr>
                <w:p w14:paraId="57E4CDB6">
                  <w:pPr>
                    <w:widowControl/>
                    <w:jc w:val="center"/>
                    <w:rPr>
                      <w:szCs w:val="21"/>
                    </w:rPr>
                  </w:pPr>
                  <w:r>
                    <w:rPr>
                      <w:rFonts w:hint="eastAsia"/>
                      <w:szCs w:val="21"/>
                    </w:rPr>
                    <w:t>29</w:t>
                  </w:r>
                </w:p>
              </w:tc>
              <w:tc>
                <w:tcPr>
                  <w:tcW w:w="417" w:type="pct"/>
                  <w:vAlign w:val="center"/>
                </w:tcPr>
                <w:p w14:paraId="7FB4B055">
                  <w:pPr>
                    <w:widowControl/>
                    <w:jc w:val="center"/>
                    <w:rPr>
                      <w:szCs w:val="21"/>
                    </w:rPr>
                  </w:pPr>
                  <w:r>
                    <w:rPr>
                      <w:rFonts w:hint="eastAsia"/>
                      <w:szCs w:val="21"/>
                    </w:rPr>
                    <w:t>0.25</w:t>
                  </w:r>
                </w:p>
              </w:tc>
              <w:tc>
                <w:tcPr>
                  <w:tcW w:w="263" w:type="pct"/>
                  <w:vAlign w:val="center"/>
                </w:tcPr>
                <w:p w14:paraId="51DD9853">
                  <w:pPr>
                    <w:widowControl/>
                    <w:jc w:val="center"/>
                    <w:rPr>
                      <w:szCs w:val="21"/>
                    </w:rPr>
                  </w:pPr>
                  <w:r>
                    <w:rPr>
                      <w:rFonts w:hint="eastAsia"/>
                      <w:szCs w:val="21"/>
                    </w:rPr>
                    <w:t>20</w:t>
                  </w:r>
                </w:p>
              </w:tc>
            </w:tr>
            <w:tr w14:paraId="7B8F4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4" w:hRule="atLeast"/>
                <w:jc w:val="center"/>
              </w:trPr>
              <w:tc>
                <w:tcPr>
                  <w:tcW w:w="261" w:type="pct"/>
                  <w:vAlign w:val="center"/>
                </w:tcPr>
                <w:p w14:paraId="7F2A1F63">
                  <w:pPr>
                    <w:pStyle w:val="584"/>
                    <w:widowControl/>
                    <w:jc w:val="center"/>
                    <w:rPr>
                      <w:rFonts w:ascii="Times New Roman" w:hAnsi="Times New Roman"/>
                      <w:szCs w:val="21"/>
                    </w:rPr>
                  </w:pPr>
                  <w:r>
                    <w:rPr>
                      <w:rFonts w:hint="eastAsia" w:ascii="Times New Roman" w:hAnsi="Times New Roman"/>
                      <w:szCs w:val="21"/>
                    </w:rPr>
                    <w:t>厂房外</w:t>
                  </w:r>
                </w:p>
              </w:tc>
              <w:tc>
                <w:tcPr>
                  <w:tcW w:w="883" w:type="pct"/>
                  <w:vAlign w:val="center"/>
                </w:tcPr>
                <w:p w14:paraId="0E0310A1">
                  <w:pPr>
                    <w:widowControl/>
                    <w:jc w:val="center"/>
                    <w:rPr>
                      <w:szCs w:val="21"/>
                    </w:rPr>
                  </w:pPr>
                  <w:r>
                    <w:rPr>
                      <w:rFonts w:hint="eastAsia"/>
                      <w:szCs w:val="21"/>
                    </w:rPr>
                    <w:t>2#水泥筒仓除尘器排气筒（DA004）</w:t>
                  </w:r>
                </w:p>
              </w:tc>
              <w:tc>
                <w:tcPr>
                  <w:tcW w:w="1116" w:type="pct"/>
                  <w:vAlign w:val="center"/>
                </w:tcPr>
                <w:p w14:paraId="26A1A71D">
                  <w:pPr>
                    <w:widowControl/>
                    <w:jc w:val="center"/>
                    <w:rPr>
                      <w:sz w:val="20"/>
                      <w:szCs w:val="20"/>
                    </w:rPr>
                  </w:pPr>
                  <w:r>
                    <w:rPr>
                      <w:rFonts w:hint="eastAsia"/>
                      <w:sz w:val="20"/>
                      <w:szCs w:val="20"/>
                    </w:rPr>
                    <w:t>111°8′13.21863″</w:t>
                  </w:r>
                </w:p>
              </w:tc>
              <w:tc>
                <w:tcPr>
                  <w:tcW w:w="1134" w:type="pct"/>
                  <w:vAlign w:val="center"/>
                </w:tcPr>
                <w:p w14:paraId="2294C6F9">
                  <w:pPr>
                    <w:widowControl/>
                    <w:jc w:val="center"/>
                    <w:rPr>
                      <w:sz w:val="20"/>
                      <w:szCs w:val="20"/>
                    </w:rPr>
                  </w:pPr>
                  <w:r>
                    <w:rPr>
                      <w:rFonts w:hint="eastAsia"/>
                      <w:sz w:val="20"/>
                      <w:szCs w:val="20"/>
                    </w:rPr>
                    <w:t>37°48′17.76989″</w:t>
                  </w:r>
                </w:p>
              </w:tc>
              <w:tc>
                <w:tcPr>
                  <w:tcW w:w="435" w:type="pct"/>
                  <w:vAlign w:val="center"/>
                </w:tcPr>
                <w:p w14:paraId="40A20437">
                  <w:pPr>
                    <w:widowControl/>
                    <w:jc w:val="center"/>
                    <w:rPr>
                      <w:szCs w:val="21"/>
                    </w:rPr>
                  </w:pPr>
                  <w:r>
                    <w:rPr>
                      <w:rFonts w:hint="eastAsia"/>
                      <w:szCs w:val="21"/>
                    </w:rPr>
                    <w:t>1120</w:t>
                  </w:r>
                </w:p>
              </w:tc>
              <w:tc>
                <w:tcPr>
                  <w:tcW w:w="490" w:type="pct"/>
                  <w:vAlign w:val="center"/>
                </w:tcPr>
                <w:p w14:paraId="22888FF1">
                  <w:pPr>
                    <w:widowControl/>
                    <w:jc w:val="center"/>
                    <w:rPr>
                      <w:szCs w:val="21"/>
                    </w:rPr>
                  </w:pPr>
                  <w:r>
                    <w:rPr>
                      <w:rFonts w:hint="eastAsia"/>
                      <w:szCs w:val="21"/>
                    </w:rPr>
                    <w:t>29</w:t>
                  </w:r>
                </w:p>
              </w:tc>
              <w:tc>
                <w:tcPr>
                  <w:tcW w:w="417" w:type="pct"/>
                  <w:vAlign w:val="center"/>
                </w:tcPr>
                <w:p w14:paraId="6C06E1D8">
                  <w:pPr>
                    <w:widowControl/>
                    <w:jc w:val="center"/>
                    <w:rPr>
                      <w:szCs w:val="21"/>
                    </w:rPr>
                  </w:pPr>
                  <w:r>
                    <w:rPr>
                      <w:rFonts w:hint="eastAsia"/>
                      <w:szCs w:val="21"/>
                    </w:rPr>
                    <w:t>0.25</w:t>
                  </w:r>
                </w:p>
              </w:tc>
              <w:tc>
                <w:tcPr>
                  <w:tcW w:w="263" w:type="pct"/>
                  <w:vAlign w:val="center"/>
                </w:tcPr>
                <w:p w14:paraId="5F131EBE">
                  <w:pPr>
                    <w:widowControl/>
                    <w:jc w:val="center"/>
                    <w:rPr>
                      <w:szCs w:val="21"/>
                    </w:rPr>
                  </w:pPr>
                  <w:r>
                    <w:rPr>
                      <w:rFonts w:hint="eastAsia"/>
                      <w:szCs w:val="21"/>
                    </w:rPr>
                    <w:t>20</w:t>
                  </w:r>
                </w:p>
              </w:tc>
            </w:tr>
            <w:tr w14:paraId="3E368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4" w:hRule="atLeast"/>
                <w:jc w:val="center"/>
              </w:trPr>
              <w:tc>
                <w:tcPr>
                  <w:tcW w:w="261" w:type="pct"/>
                  <w:vAlign w:val="center"/>
                </w:tcPr>
                <w:p w14:paraId="41DE3870">
                  <w:pPr>
                    <w:pStyle w:val="584"/>
                    <w:widowControl/>
                    <w:jc w:val="center"/>
                    <w:rPr>
                      <w:rFonts w:ascii="Times New Roman" w:hAnsi="Times New Roman"/>
                      <w:szCs w:val="21"/>
                    </w:rPr>
                  </w:pPr>
                  <w:r>
                    <w:rPr>
                      <w:rFonts w:hint="eastAsia" w:ascii="Times New Roman" w:hAnsi="Times New Roman"/>
                      <w:szCs w:val="21"/>
                    </w:rPr>
                    <w:t>厂房外</w:t>
                  </w:r>
                </w:p>
              </w:tc>
              <w:tc>
                <w:tcPr>
                  <w:tcW w:w="883" w:type="pct"/>
                  <w:vAlign w:val="center"/>
                </w:tcPr>
                <w:p w14:paraId="0527FE6D">
                  <w:pPr>
                    <w:widowControl/>
                    <w:jc w:val="center"/>
                    <w:rPr>
                      <w:szCs w:val="21"/>
                    </w:rPr>
                  </w:pPr>
                  <w:r>
                    <w:rPr>
                      <w:rFonts w:hint="eastAsia"/>
                      <w:szCs w:val="21"/>
                    </w:rPr>
                    <w:t>粉煤灰筒仓除尘器排气筒（DA005）</w:t>
                  </w:r>
                </w:p>
              </w:tc>
              <w:tc>
                <w:tcPr>
                  <w:tcW w:w="1116" w:type="pct"/>
                  <w:vAlign w:val="center"/>
                </w:tcPr>
                <w:p w14:paraId="6A5857FD">
                  <w:pPr>
                    <w:widowControl/>
                    <w:jc w:val="center"/>
                    <w:rPr>
                      <w:sz w:val="20"/>
                      <w:szCs w:val="20"/>
                    </w:rPr>
                  </w:pPr>
                  <w:r>
                    <w:rPr>
                      <w:rFonts w:hint="eastAsia"/>
                      <w:sz w:val="20"/>
                      <w:szCs w:val="20"/>
                    </w:rPr>
                    <w:t>111°8′13.42624″</w:t>
                  </w:r>
                </w:p>
              </w:tc>
              <w:tc>
                <w:tcPr>
                  <w:tcW w:w="1134" w:type="pct"/>
                  <w:vAlign w:val="center"/>
                </w:tcPr>
                <w:p w14:paraId="5A346E2F">
                  <w:pPr>
                    <w:widowControl/>
                    <w:jc w:val="center"/>
                    <w:rPr>
                      <w:sz w:val="20"/>
                      <w:szCs w:val="20"/>
                    </w:rPr>
                  </w:pPr>
                  <w:r>
                    <w:rPr>
                      <w:rFonts w:hint="eastAsia"/>
                      <w:sz w:val="20"/>
                      <w:szCs w:val="20"/>
                    </w:rPr>
                    <w:t>37°48′17.78437″</w:t>
                  </w:r>
                </w:p>
              </w:tc>
              <w:tc>
                <w:tcPr>
                  <w:tcW w:w="435" w:type="pct"/>
                  <w:vAlign w:val="center"/>
                </w:tcPr>
                <w:p w14:paraId="2873E2C8">
                  <w:pPr>
                    <w:widowControl/>
                    <w:jc w:val="center"/>
                    <w:rPr>
                      <w:szCs w:val="21"/>
                    </w:rPr>
                  </w:pPr>
                  <w:r>
                    <w:rPr>
                      <w:rFonts w:hint="eastAsia"/>
                      <w:szCs w:val="21"/>
                    </w:rPr>
                    <w:t>1120</w:t>
                  </w:r>
                </w:p>
              </w:tc>
              <w:tc>
                <w:tcPr>
                  <w:tcW w:w="490" w:type="pct"/>
                  <w:vAlign w:val="center"/>
                </w:tcPr>
                <w:p w14:paraId="00CFE71B">
                  <w:pPr>
                    <w:widowControl/>
                    <w:jc w:val="center"/>
                    <w:rPr>
                      <w:szCs w:val="21"/>
                    </w:rPr>
                  </w:pPr>
                  <w:r>
                    <w:rPr>
                      <w:rFonts w:hint="eastAsia"/>
                      <w:szCs w:val="21"/>
                    </w:rPr>
                    <w:t>29</w:t>
                  </w:r>
                </w:p>
              </w:tc>
              <w:tc>
                <w:tcPr>
                  <w:tcW w:w="417" w:type="pct"/>
                  <w:vAlign w:val="center"/>
                </w:tcPr>
                <w:p w14:paraId="42E19F1F">
                  <w:pPr>
                    <w:widowControl/>
                    <w:jc w:val="center"/>
                    <w:rPr>
                      <w:szCs w:val="21"/>
                    </w:rPr>
                  </w:pPr>
                  <w:r>
                    <w:rPr>
                      <w:rFonts w:hint="eastAsia"/>
                      <w:szCs w:val="21"/>
                    </w:rPr>
                    <w:t>0.25</w:t>
                  </w:r>
                </w:p>
              </w:tc>
              <w:tc>
                <w:tcPr>
                  <w:tcW w:w="263" w:type="pct"/>
                  <w:vAlign w:val="center"/>
                </w:tcPr>
                <w:p w14:paraId="64A23776">
                  <w:pPr>
                    <w:widowControl/>
                    <w:jc w:val="center"/>
                    <w:rPr>
                      <w:szCs w:val="21"/>
                    </w:rPr>
                  </w:pPr>
                  <w:r>
                    <w:rPr>
                      <w:rFonts w:hint="eastAsia"/>
                      <w:szCs w:val="21"/>
                    </w:rPr>
                    <w:t>20</w:t>
                  </w:r>
                </w:p>
              </w:tc>
            </w:tr>
            <w:tr w14:paraId="2D40E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4" w:hRule="atLeast"/>
                <w:jc w:val="center"/>
              </w:trPr>
              <w:tc>
                <w:tcPr>
                  <w:tcW w:w="261" w:type="pct"/>
                  <w:vAlign w:val="center"/>
                </w:tcPr>
                <w:p w14:paraId="4E16B507">
                  <w:pPr>
                    <w:pStyle w:val="584"/>
                    <w:widowControl/>
                    <w:jc w:val="center"/>
                    <w:rPr>
                      <w:rFonts w:ascii="Times New Roman" w:hAnsi="Times New Roman"/>
                      <w:szCs w:val="21"/>
                    </w:rPr>
                  </w:pPr>
                  <w:r>
                    <w:rPr>
                      <w:rFonts w:hint="eastAsia" w:ascii="Times New Roman" w:hAnsi="Times New Roman"/>
                      <w:szCs w:val="21"/>
                    </w:rPr>
                    <w:t>厂房外</w:t>
                  </w:r>
                </w:p>
              </w:tc>
              <w:tc>
                <w:tcPr>
                  <w:tcW w:w="883" w:type="pct"/>
                  <w:vAlign w:val="center"/>
                </w:tcPr>
                <w:p w14:paraId="582BA296">
                  <w:pPr>
                    <w:widowControl/>
                    <w:jc w:val="center"/>
                    <w:rPr>
                      <w:szCs w:val="21"/>
                    </w:rPr>
                  </w:pPr>
                  <w:r>
                    <w:rPr>
                      <w:rFonts w:hint="eastAsia"/>
                      <w:szCs w:val="21"/>
                    </w:rPr>
                    <w:t>成品仓散装除尘器+成品仓仓顶除尘器排气筒（DA006）</w:t>
                  </w:r>
                </w:p>
              </w:tc>
              <w:tc>
                <w:tcPr>
                  <w:tcW w:w="1116" w:type="pct"/>
                  <w:vAlign w:val="center"/>
                </w:tcPr>
                <w:p w14:paraId="1D09348D">
                  <w:pPr>
                    <w:widowControl/>
                    <w:jc w:val="center"/>
                    <w:rPr>
                      <w:sz w:val="20"/>
                      <w:szCs w:val="20"/>
                    </w:rPr>
                  </w:pPr>
                  <w:r>
                    <w:rPr>
                      <w:rFonts w:hint="eastAsia"/>
                      <w:sz w:val="20"/>
                      <w:szCs w:val="20"/>
                    </w:rPr>
                    <w:t>111°8′13.38279″</w:t>
                  </w:r>
                </w:p>
              </w:tc>
              <w:tc>
                <w:tcPr>
                  <w:tcW w:w="1134" w:type="pct"/>
                  <w:vAlign w:val="center"/>
                </w:tcPr>
                <w:p w14:paraId="0531D9D2">
                  <w:pPr>
                    <w:widowControl/>
                    <w:jc w:val="center"/>
                    <w:rPr>
                      <w:sz w:val="20"/>
                      <w:szCs w:val="20"/>
                    </w:rPr>
                  </w:pPr>
                  <w:r>
                    <w:rPr>
                      <w:rFonts w:hint="eastAsia"/>
                      <w:sz w:val="20"/>
                      <w:szCs w:val="20"/>
                    </w:rPr>
                    <w:t>37°48′16.97327″</w:t>
                  </w:r>
                </w:p>
              </w:tc>
              <w:tc>
                <w:tcPr>
                  <w:tcW w:w="435" w:type="pct"/>
                  <w:vAlign w:val="center"/>
                </w:tcPr>
                <w:p w14:paraId="647E0389">
                  <w:pPr>
                    <w:widowControl/>
                    <w:jc w:val="center"/>
                    <w:rPr>
                      <w:szCs w:val="21"/>
                    </w:rPr>
                  </w:pPr>
                  <w:r>
                    <w:rPr>
                      <w:rFonts w:hint="eastAsia"/>
                      <w:szCs w:val="21"/>
                    </w:rPr>
                    <w:t>1120</w:t>
                  </w:r>
                </w:p>
              </w:tc>
              <w:tc>
                <w:tcPr>
                  <w:tcW w:w="490" w:type="pct"/>
                  <w:vAlign w:val="center"/>
                </w:tcPr>
                <w:p w14:paraId="515A8C17">
                  <w:pPr>
                    <w:widowControl/>
                    <w:jc w:val="center"/>
                    <w:rPr>
                      <w:szCs w:val="21"/>
                    </w:rPr>
                  </w:pPr>
                  <w:r>
                    <w:rPr>
                      <w:rFonts w:hint="eastAsia"/>
                      <w:szCs w:val="21"/>
                    </w:rPr>
                    <w:t>19</w:t>
                  </w:r>
                </w:p>
              </w:tc>
              <w:tc>
                <w:tcPr>
                  <w:tcW w:w="417" w:type="pct"/>
                  <w:vAlign w:val="center"/>
                </w:tcPr>
                <w:p w14:paraId="19BD28B9">
                  <w:pPr>
                    <w:widowControl/>
                    <w:jc w:val="center"/>
                    <w:rPr>
                      <w:szCs w:val="21"/>
                    </w:rPr>
                  </w:pPr>
                  <w:r>
                    <w:rPr>
                      <w:rFonts w:hint="eastAsia"/>
                      <w:szCs w:val="21"/>
                    </w:rPr>
                    <w:t>0.3</w:t>
                  </w:r>
                </w:p>
              </w:tc>
              <w:tc>
                <w:tcPr>
                  <w:tcW w:w="263" w:type="pct"/>
                  <w:vAlign w:val="center"/>
                </w:tcPr>
                <w:p w14:paraId="08CFF6EF">
                  <w:pPr>
                    <w:widowControl/>
                    <w:jc w:val="center"/>
                    <w:rPr>
                      <w:szCs w:val="21"/>
                    </w:rPr>
                  </w:pPr>
                  <w:r>
                    <w:rPr>
                      <w:rFonts w:hint="eastAsia"/>
                      <w:szCs w:val="21"/>
                    </w:rPr>
                    <w:t>20</w:t>
                  </w:r>
                </w:p>
              </w:tc>
            </w:tr>
            <w:bookmarkEnd w:id="15"/>
          </w:tbl>
          <w:p w14:paraId="2E9245FF">
            <w:pPr>
              <w:adjustRightInd w:val="0"/>
              <w:snapToGrid w:val="0"/>
              <w:spacing w:line="360" w:lineRule="auto"/>
              <w:ind w:firstLine="482" w:firstLineChars="200"/>
              <w:rPr>
                <w:b/>
                <w:sz w:val="24"/>
              </w:rPr>
            </w:pPr>
          </w:p>
          <w:p w14:paraId="3C94211A">
            <w:pPr>
              <w:adjustRightInd w:val="0"/>
              <w:snapToGrid w:val="0"/>
              <w:spacing w:line="360" w:lineRule="auto"/>
              <w:ind w:firstLine="482" w:firstLineChars="200"/>
              <w:rPr>
                <w:b/>
                <w:sz w:val="24"/>
              </w:rPr>
            </w:pPr>
          </w:p>
          <w:p w14:paraId="19C6B7A4">
            <w:pPr>
              <w:adjustRightInd w:val="0"/>
              <w:snapToGrid w:val="0"/>
              <w:spacing w:line="360" w:lineRule="auto"/>
              <w:ind w:firstLine="482" w:firstLineChars="200"/>
              <w:rPr>
                <w:b/>
                <w:sz w:val="24"/>
              </w:rPr>
            </w:pPr>
          </w:p>
          <w:p w14:paraId="777FD635">
            <w:pPr>
              <w:adjustRightInd w:val="0"/>
              <w:snapToGrid w:val="0"/>
              <w:spacing w:line="360" w:lineRule="auto"/>
              <w:ind w:firstLine="482" w:firstLineChars="200"/>
              <w:rPr>
                <w:b/>
                <w:sz w:val="24"/>
              </w:rPr>
            </w:pPr>
          </w:p>
          <w:p w14:paraId="11832680">
            <w:pPr>
              <w:adjustRightInd w:val="0"/>
              <w:snapToGrid w:val="0"/>
              <w:spacing w:line="360" w:lineRule="auto"/>
              <w:ind w:firstLine="482" w:firstLineChars="200"/>
              <w:rPr>
                <w:b/>
                <w:sz w:val="24"/>
              </w:rPr>
            </w:pPr>
          </w:p>
          <w:p w14:paraId="7E820D74">
            <w:pPr>
              <w:adjustRightInd w:val="0"/>
              <w:snapToGrid w:val="0"/>
              <w:spacing w:line="360" w:lineRule="auto"/>
              <w:ind w:firstLine="482" w:firstLineChars="200"/>
              <w:rPr>
                <w:b/>
                <w:sz w:val="24"/>
              </w:rPr>
            </w:pPr>
          </w:p>
          <w:p w14:paraId="143CE8C5">
            <w:pPr>
              <w:adjustRightInd w:val="0"/>
              <w:snapToGrid w:val="0"/>
              <w:spacing w:line="360" w:lineRule="auto"/>
              <w:ind w:firstLine="482" w:firstLineChars="200"/>
              <w:rPr>
                <w:b/>
                <w:sz w:val="24"/>
              </w:rPr>
            </w:pPr>
          </w:p>
          <w:p w14:paraId="38F3E8FA">
            <w:pPr>
              <w:adjustRightInd w:val="0"/>
              <w:snapToGrid w:val="0"/>
              <w:spacing w:line="360" w:lineRule="auto"/>
              <w:ind w:firstLine="482" w:firstLineChars="200"/>
              <w:rPr>
                <w:rFonts w:hint="eastAsia"/>
                <w:b/>
                <w:sz w:val="24"/>
              </w:rPr>
            </w:pPr>
          </w:p>
          <w:p w14:paraId="1151A516">
            <w:pPr>
              <w:adjustRightInd w:val="0"/>
              <w:snapToGrid w:val="0"/>
              <w:spacing w:line="360" w:lineRule="auto"/>
              <w:ind w:firstLine="482" w:firstLineChars="200"/>
              <w:rPr>
                <w:rFonts w:hint="eastAsia"/>
                <w:b/>
                <w:sz w:val="24"/>
              </w:rPr>
            </w:pPr>
          </w:p>
          <w:p w14:paraId="2413385D">
            <w:pPr>
              <w:adjustRightInd w:val="0"/>
              <w:snapToGrid w:val="0"/>
              <w:spacing w:line="360" w:lineRule="auto"/>
              <w:ind w:firstLine="482" w:firstLineChars="200"/>
              <w:rPr>
                <w:rFonts w:hint="eastAsia"/>
                <w:b/>
                <w:sz w:val="24"/>
              </w:rPr>
            </w:pPr>
          </w:p>
          <w:p w14:paraId="14C0F627">
            <w:pPr>
              <w:adjustRightInd w:val="0"/>
              <w:snapToGrid w:val="0"/>
              <w:spacing w:line="360" w:lineRule="auto"/>
              <w:ind w:firstLine="482" w:firstLineChars="200"/>
              <w:rPr>
                <w:b/>
                <w:sz w:val="24"/>
              </w:rPr>
            </w:pPr>
            <w:r>
              <w:rPr>
                <w:rFonts w:hint="eastAsia"/>
                <w:b/>
                <w:sz w:val="24"/>
              </w:rPr>
              <w:t>3. 大气污染源监测计划</w:t>
            </w:r>
          </w:p>
          <w:p w14:paraId="49AFEBE4">
            <w:pPr>
              <w:pStyle w:val="22"/>
              <w:spacing w:after="0" w:line="360" w:lineRule="auto"/>
              <w:ind w:left="0" w:leftChars="0"/>
              <w:jc w:val="center"/>
              <w:rPr>
                <w:b/>
                <w:szCs w:val="21"/>
              </w:rPr>
            </w:pPr>
            <w:r>
              <w:rPr>
                <w:rFonts w:hint="eastAsia"/>
                <w:b/>
                <w:szCs w:val="21"/>
              </w:rPr>
              <w:t>表4</w:t>
            </w:r>
            <w:r>
              <w:rPr>
                <w:b/>
                <w:szCs w:val="21"/>
              </w:rPr>
              <w:t>-</w:t>
            </w:r>
            <w:r>
              <w:rPr>
                <w:rFonts w:hint="eastAsia"/>
                <w:b/>
                <w:szCs w:val="21"/>
              </w:rPr>
              <w:t>5</w:t>
            </w:r>
            <w:r>
              <w:rPr>
                <w:b/>
                <w:szCs w:val="21"/>
              </w:rPr>
              <w:t xml:space="preserve"> </w:t>
            </w:r>
            <w:r>
              <w:rPr>
                <w:rFonts w:hint="eastAsia"/>
                <w:b/>
                <w:szCs w:val="21"/>
              </w:rPr>
              <w:t xml:space="preserve"> 大气污染源监测计划表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9"/>
              <w:gridCol w:w="1655"/>
              <w:gridCol w:w="1298"/>
              <w:gridCol w:w="1121"/>
              <w:gridCol w:w="1121"/>
              <w:gridCol w:w="1121"/>
              <w:gridCol w:w="1119"/>
            </w:tblGrid>
            <w:tr w14:paraId="0B761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69" w:type="pct"/>
                  <w:vAlign w:val="center"/>
                </w:tcPr>
                <w:p w14:paraId="7CF96CBB">
                  <w:pPr>
                    <w:widowControl/>
                    <w:adjustRightInd w:val="0"/>
                    <w:snapToGrid w:val="0"/>
                    <w:jc w:val="center"/>
                    <w:rPr>
                      <w:kern w:val="0"/>
                      <w:szCs w:val="21"/>
                    </w:rPr>
                  </w:pPr>
                  <w:r>
                    <w:rPr>
                      <w:rFonts w:hint="eastAsia"/>
                      <w:kern w:val="0"/>
                      <w:szCs w:val="21"/>
                    </w:rPr>
                    <w:t>类别</w:t>
                  </w:r>
                </w:p>
              </w:tc>
              <w:tc>
                <w:tcPr>
                  <w:tcW w:w="1009" w:type="pct"/>
                  <w:vAlign w:val="center"/>
                </w:tcPr>
                <w:p w14:paraId="07CD3926">
                  <w:pPr>
                    <w:widowControl/>
                    <w:adjustRightInd w:val="0"/>
                    <w:snapToGrid w:val="0"/>
                    <w:jc w:val="center"/>
                    <w:rPr>
                      <w:bCs/>
                      <w:kern w:val="0"/>
                      <w:szCs w:val="21"/>
                    </w:rPr>
                  </w:pPr>
                  <w:r>
                    <w:rPr>
                      <w:rFonts w:hint="eastAsia"/>
                      <w:bCs/>
                      <w:kern w:val="0"/>
                      <w:szCs w:val="21"/>
                    </w:rPr>
                    <w:t>排放口名称</w:t>
                  </w:r>
                </w:p>
              </w:tc>
              <w:tc>
                <w:tcPr>
                  <w:tcW w:w="791" w:type="pct"/>
                  <w:vAlign w:val="center"/>
                </w:tcPr>
                <w:p w14:paraId="671619FB">
                  <w:pPr>
                    <w:widowControl/>
                    <w:adjustRightInd w:val="0"/>
                    <w:snapToGrid w:val="0"/>
                    <w:jc w:val="center"/>
                    <w:rPr>
                      <w:bCs/>
                      <w:color w:val="000000"/>
                      <w:kern w:val="0"/>
                      <w:szCs w:val="21"/>
                    </w:rPr>
                  </w:pPr>
                  <w:r>
                    <w:rPr>
                      <w:rFonts w:hint="eastAsia"/>
                      <w:bCs/>
                      <w:color w:val="000000"/>
                      <w:kern w:val="0"/>
                      <w:szCs w:val="21"/>
                    </w:rPr>
                    <w:t>排放口编号</w:t>
                  </w:r>
                </w:p>
              </w:tc>
              <w:tc>
                <w:tcPr>
                  <w:tcW w:w="683" w:type="pct"/>
                  <w:vAlign w:val="center"/>
                </w:tcPr>
                <w:p w14:paraId="55EF8E58">
                  <w:pPr>
                    <w:widowControl/>
                    <w:adjustRightInd w:val="0"/>
                    <w:snapToGrid w:val="0"/>
                    <w:jc w:val="center"/>
                    <w:rPr>
                      <w:bCs/>
                      <w:color w:val="000000"/>
                      <w:kern w:val="0"/>
                      <w:szCs w:val="21"/>
                    </w:rPr>
                  </w:pPr>
                  <w:r>
                    <w:rPr>
                      <w:rFonts w:hint="eastAsia"/>
                      <w:bCs/>
                      <w:color w:val="000000"/>
                      <w:kern w:val="0"/>
                      <w:szCs w:val="21"/>
                    </w:rPr>
                    <w:t>监测点位</w:t>
                  </w:r>
                </w:p>
              </w:tc>
              <w:tc>
                <w:tcPr>
                  <w:tcW w:w="683" w:type="pct"/>
                  <w:vAlign w:val="center"/>
                </w:tcPr>
                <w:p w14:paraId="6234AFD7">
                  <w:pPr>
                    <w:widowControl/>
                    <w:adjustRightInd w:val="0"/>
                    <w:snapToGrid w:val="0"/>
                    <w:jc w:val="center"/>
                    <w:rPr>
                      <w:bCs/>
                      <w:color w:val="000000"/>
                      <w:kern w:val="0"/>
                      <w:szCs w:val="21"/>
                    </w:rPr>
                  </w:pPr>
                  <w:r>
                    <w:rPr>
                      <w:rFonts w:hint="eastAsia"/>
                      <w:bCs/>
                      <w:color w:val="000000"/>
                      <w:kern w:val="0"/>
                      <w:szCs w:val="21"/>
                    </w:rPr>
                    <w:t>监测因子</w:t>
                  </w:r>
                </w:p>
              </w:tc>
              <w:tc>
                <w:tcPr>
                  <w:tcW w:w="683" w:type="pct"/>
                  <w:vAlign w:val="center"/>
                </w:tcPr>
                <w:p w14:paraId="1A4ABE33">
                  <w:pPr>
                    <w:widowControl/>
                    <w:adjustRightInd w:val="0"/>
                    <w:snapToGrid w:val="0"/>
                    <w:jc w:val="center"/>
                    <w:rPr>
                      <w:bCs/>
                      <w:color w:val="000000"/>
                      <w:kern w:val="0"/>
                      <w:szCs w:val="21"/>
                    </w:rPr>
                  </w:pPr>
                  <w:r>
                    <w:rPr>
                      <w:rFonts w:hint="eastAsia"/>
                      <w:bCs/>
                      <w:color w:val="000000"/>
                      <w:kern w:val="0"/>
                      <w:szCs w:val="21"/>
                    </w:rPr>
                    <w:t>监测频率</w:t>
                  </w:r>
                </w:p>
              </w:tc>
              <w:tc>
                <w:tcPr>
                  <w:tcW w:w="683" w:type="pct"/>
                  <w:vAlign w:val="center"/>
                </w:tcPr>
                <w:p w14:paraId="406F5E01">
                  <w:pPr>
                    <w:widowControl/>
                    <w:adjustRightInd w:val="0"/>
                    <w:snapToGrid w:val="0"/>
                    <w:jc w:val="center"/>
                    <w:rPr>
                      <w:bCs/>
                      <w:color w:val="000000"/>
                      <w:kern w:val="0"/>
                      <w:szCs w:val="21"/>
                    </w:rPr>
                  </w:pPr>
                  <w:r>
                    <w:rPr>
                      <w:rFonts w:hint="eastAsia"/>
                      <w:bCs/>
                      <w:color w:val="000000"/>
                      <w:kern w:val="0"/>
                      <w:szCs w:val="21"/>
                    </w:rPr>
                    <w:t>执行标准</w:t>
                  </w:r>
                </w:p>
              </w:tc>
            </w:tr>
            <w:tr w14:paraId="6700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7" w:hRule="atLeast"/>
                <w:jc w:val="center"/>
              </w:trPr>
              <w:tc>
                <w:tcPr>
                  <w:tcW w:w="469" w:type="pct"/>
                  <w:vMerge w:val="restart"/>
                  <w:vAlign w:val="center"/>
                </w:tcPr>
                <w:p w14:paraId="4D6B18A9">
                  <w:pPr>
                    <w:adjustRightInd w:val="0"/>
                    <w:snapToGrid w:val="0"/>
                    <w:jc w:val="center"/>
                    <w:rPr>
                      <w:kern w:val="0"/>
                      <w:szCs w:val="21"/>
                    </w:rPr>
                  </w:pPr>
                  <w:r>
                    <w:rPr>
                      <w:rFonts w:hint="eastAsia"/>
                      <w:kern w:val="0"/>
                      <w:szCs w:val="21"/>
                    </w:rPr>
                    <w:t>有</w:t>
                  </w:r>
                </w:p>
                <w:p w14:paraId="209DD99F">
                  <w:pPr>
                    <w:adjustRightInd w:val="0"/>
                    <w:snapToGrid w:val="0"/>
                    <w:jc w:val="center"/>
                    <w:rPr>
                      <w:kern w:val="0"/>
                      <w:szCs w:val="21"/>
                    </w:rPr>
                  </w:pPr>
                  <w:r>
                    <w:rPr>
                      <w:rFonts w:hint="eastAsia"/>
                      <w:kern w:val="0"/>
                      <w:szCs w:val="21"/>
                    </w:rPr>
                    <w:t>组</w:t>
                  </w:r>
                </w:p>
                <w:p w14:paraId="62B27483">
                  <w:pPr>
                    <w:adjustRightInd w:val="0"/>
                    <w:snapToGrid w:val="0"/>
                    <w:jc w:val="center"/>
                    <w:rPr>
                      <w:kern w:val="0"/>
                      <w:szCs w:val="21"/>
                    </w:rPr>
                  </w:pPr>
                  <w:r>
                    <w:rPr>
                      <w:rFonts w:hint="eastAsia"/>
                      <w:kern w:val="0"/>
                      <w:szCs w:val="21"/>
                    </w:rPr>
                    <w:t>织</w:t>
                  </w:r>
                </w:p>
              </w:tc>
              <w:tc>
                <w:tcPr>
                  <w:tcW w:w="1009" w:type="pct"/>
                  <w:vAlign w:val="center"/>
                </w:tcPr>
                <w:p w14:paraId="732CB7ED">
                  <w:pPr>
                    <w:pStyle w:val="348"/>
                    <w:jc w:val="center"/>
                    <w:rPr>
                      <w:sz w:val="21"/>
                      <w:szCs w:val="21"/>
                    </w:rPr>
                  </w:pPr>
                  <w:r>
                    <w:rPr>
                      <w:rFonts w:hint="eastAsia"/>
                      <w:sz w:val="21"/>
                      <w:szCs w:val="21"/>
                    </w:rPr>
                    <w:t>砂库出料排气筒</w:t>
                  </w:r>
                </w:p>
              </w:tc>
              <w:tc>
                <w:tcPr>
                  <w:tcW w:w="791" w:type="pct"/>
                  <w:vAlign w:val="center"/>
                </w:tcPr>
                <w:p w14:paraId="15990659">
                  <w:pPr>
                    <w:jc w:val="center"/>
                    <w:rPr>
                      <w:bCs/>
                      <w:color w:val="000000"/>
                      <w:kern w:val="0"/>
                      <w:szCs w:val="21"/>
                    </w:rPr>
                  </w:pPr>
                  <w:r>
                    <w:rPr>
                      <w:rFonts w:hint="eastAsia"/>
                      <w:bCs/>
                      <w:color w:val="000000"/>
                      <w:kern w:val="0"/>
                      <w:szCs w:val="21"/>
                    </w:rPr>
                    <w:t>DA001</w:t>
                  </w:r>
                </w:p>
              </w:tc>
              <w:tc>
                <w:tcPr>
                  <w:tcW w:w="683" w:type="pct"/>
                  <w:vMerge w:val="restart"/>
                  <w:vAlign w:val="center"/>
                </w:tcPr>
                <w:p w14:paraId="2A953290">
                  <w:pPr>
                    <w:adjustRightInd w:val="0"/>
                    <w:snapToGrid w:val="0"/>
                    <w:jc w:val="center"/>
                    <w:rPr>
                      <w:bCs/>
                      <w:color w:val="000000"/>
                      <w:kern w:val="0"/>
                      <w:szCs w:val="21"/>
                    </w:rPr>
                  </w:pPr>
                  <w:r>
                    <w:rPr>
                      <w:rFonts w:hint="eastAsia"/>
                      <w:bCs/>
                      <w:color w:val="000000"/>
                      <w:kern w:val="0"/>
                      <w:szCs w:val="21"/>
                    </w:rPr>
                    <w:t>除尘设施进、出口</w:t>
                  </w:r>
                </w:p>
              </w:tc>
              <w:tc>
                <w:tcPr>
                  <w:tcW w:w="683" w:type="pct"/>
                  <w:vMerge w:val="restart"/>
                  <w:vAlign w:val="center"/>
                </w:tcPr>
                <w:p w14:paraId="38C19AED">
                  <w:pPr>
                    <w:adjustRightInd w:val="0"/>
                    <w:snapToGrid w:val="0"/>
                    <w:jc w:val="center"/>
                    <w:rPr>
                      <w:bCs/>
                      <w:color w:val="000000"/>
                      <w:kern w:val="0"/>
                      <w:szCs w:val="21"/>
                    </w:rPr>
                  </w:pPr>
                  <w:r>
                    <w:rPr>
                      <w:rFonts w:hint="eastAsia"/>
                      <w:bCs/>
                      <w:color w:val="000000"/>
                      <w:kern w:val="0"/>
                      <w:szCs w:val="21"/>
                    </w:rPr>
                    <w:t>颗粒物</w:t>
                  </w:r>
                </w:p>
              </w:tc>
              <w:tc>
                <w:tcPr>
                  <w:tcW w:w="683" w:type="pct"/>
                  <w:vMerge w:val="restart"/>
                  <w:vAlign w:val="center"/>
                </w:tcPr>
                <w:p w14:paraId="76613D0D">
                  <w:pPr>
                    <w:adjustRightInd w:val="0"/>
                    <w:snapToGrid w:val="0"/>
                    <w:jc w:val="center"/>
                    <w:rPr>
                      <w:bCs/>
                      <w:kern w:val="0"/>
                      <w:szCs w:val="21"/>
                    </w:rPr>
                  </w:pPr>
                  <w:r>
                    <w:rPr>
                      <w:rFonts w:hint="eastAsia"/>
                      <w:bCs/>
                      <w:kern w:val="0"/>
                      <w:szCs w:val="21"/>
                    </w:rPr>
                    <w:t>1次/2年</w:t>
                  </w:r>
                </w:p>
              </w:tc>
              <w:tc>
                <w:tcPr>
                  <w:tcW w:w="683" w:type="pct"/>
                  <w:vMerge w:val="restart"/>
                  <w:vAlign w:val="center"/>
                </w:tcPr>
                <w:p w14:paraId="0B701C74">
                  <w:pPr>
                    <w:adjustRightInd w:val="0"/>
                    <w:snapToGrid w:val="0"/>
                    <w:jc w:val="center"/>
                    <w:rPr>
                      <w:bCs/>
                      <w:color w:val="000000"/>
                      <w:kern w:val="0"/>
                      <w:szCs w:val="21"/>
                    </w:rPr>
                  </w:pPr>
                  <w:r>
                    <w:rPr>
                      <w:rFonts w:hint="eastAsia"/>
                      <w:bCs/>
                      <w:color w:val="000000"/>
                      <w:kern w:val="0"/>
                      <w:szCs w:val="21"/>
                    </w:rPr>
                    <w:t>《水泥工业大气污染物排放标准》特别排放限值及厂界浓度监控点排放限值</w:t>
                  </w:r>
                </w:p>
              </w:tc>
            </w:tr>
            <w:tr w14:paraId="5BAEC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69" w:type="pct"/>
                  <w:vMerge w:val="continue"/>
                  <w:vAlign w:val="center"/>
                </w:tcPr>
                <w:p w14:paraId="103E17EF">
                  <w:pPr>
                    <w:widowControl/>
                    <w:adjustRightInd w:val="0"/>
                    <w:snapToGrid w:val="0"/>
                    <w:jc w:val="center"/>
                    <w:rPr>
                      <w:kern w:val="0"/>
                      <w:szCs w:val="21"/>
                    </w:rPr>
                  </w:pPr>
                </w:p>
              </w:tc>
              <w:tc>
                <w:tcPr>
                  <w:tcW w:w="1009" w:type="pct"/>
                  <w:vAlign w:val="center"/>
                </w:tcPr>
                <w:p w14:paraId="3928F46E">
                  <w:pPr>
                    <w:pStyle w:val="348"/>
                    <w:jc w:val="center"/>
                    <w:rPr>
                      <w:color w:val="000000"/>
                      <w:sz w:val="21"/>
                      <w:szCs w:val="21"/>
                    </w:rPr>
                  </w:pPr>
                  <w:r>
                    <w:rPr>
                      <w:rFonts w:hint="eastAsia"/>
                      <w:sz w:val="21"/>
                      <w:szCs w:val="21"/>
                    </w:rPr>
                    <w:t>主楼除尘器+包装机除尘器+主楼散装除尘器排气筒</w:t>
                  </w:r>
                </w:p>
              </w:tc>
              <w:tc>
                <w:tcPr>
                  <w:tcW w:w="791" w:type="pct"/>
                  <w:vAlign w:val="center"/>
                </w:tcPr>
                <w:p w14:paraId="7335FA2C">
                  <w:pPr>
                    <w:jc w:val="center"/>
                  </w:pPr>
                  <w:r>
                    <w:rPr>
                      <w:rFonts w:hint="eastAsia"/>
                      <w:bCs/>
                      <w:color w:val="000000"/>
                      <w:kern w:val="0"/>
                      <w:szCs w:val="21"/>
                    </w:rPr>
                    <w:t>DA002</w:t>
                  </w:r>
                </w:p>
              </w:tc>
              <w:tc>
                <w:tcPr>
                  <w:tcW w:w="683" w:type="pct"/>
                  <w:vMerge w:val="continue"/>
                  <w:vAlign w:val="center"/>
                </w:tcPr>
                <w:p w14:paraId="78CB5E7F">
                  <w:pPr>
                    <w:widowControl/>
                    <w:adjustRightInd w:val="0"/>
                    <w:snapToGrid w:val="0"/>
                    <w:jc w:val="center"/>
                    <w:rPr>
                      <w:bCs/>
                      <w:color w:val="000000"/>
                      <w:kern w:val="0"/>
                      <w:szCs w:val="21"/>
                    </w:rPr>
                  </w:pPr>
                </w:p>
              </w:tc>
              <w:tc>
                <w:tcPr>
                  <w:tcW w:w="683" w:type="pct"/>
                  <w:vMerge w:val="continue"/>
                  <w:vAlign w:val="center"/>
                </w:tcPr>
                <w:p w14:paraId="2CF5195C">
                  <w:pPr>
                    <w:widowControl/>
                    <w:adjustRightInd w:val="0"/>
                    <w:snapToGrid w:val="0"/>
                    <w:jc w:val="center"/>
                    <w:rPr>
                      <w:bCs/>
                      <w:color w:val="000000"/>
                      <w:kern w:val="0"/>
                      <w:szCs w:val="21"/>
                    </w:rPr>
                  </w:pPr>
                </w:p>
              </w:tc>
              <w:tc>
                <w:tcPr>
                  <w:tcW w:w="683" w:type="pct"/>
                  <w:vMerge w:val="continue"/>
                  <w:vAlign w:val="center"/>
                </w:tcPr>
                <w:p w14:paraId="51DAB590">
                  <w:pPr>
                    <w:widowControl/>
                    <w:adjustRightInd w:val="0"/>
                    <w:snapToGrid w:val="0"/>
                    <w:jc w:val="center"/>
                    <w:rPr>
                      <w:bCs/>
                      <w:color w:val="000000"/>
                      <w:kern w:val="0"/>
                      <w:szCs w:val="21"/>
                    </w:rPr>
                  </w:pPr>
                </w:p>
              </w:tc>
              <w:tc>
                <w:tcPr>
                  <w:tcW w:w="683" w:type="pct"/>
                  <w:vMerge w:val="continue"/>
                  <w:vAlign w:val="center"/>
                </w:tcPr>
                <w:p w14:paraId="4E7438AB">
                  <w:pPr>
                    <w:widowControl/>
                    <w:adjustRightInd w:val="0"/>
                    <w:snapToGrid w:val="0"/>
                    <w:jc w:val="center"/>
                    <w:rPr>
                      <w:bCs/>
                      <w:color w:val="000000"/>
                      <w:kern w:val="0"/>
                      <w:szCs w:val="21"/>
                    </w:rPr>
                  </w:pPr>
                </w:p>
              </w:tc>
            </w:tr>
            <w:tr w14:paraId="6311A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69" w:type="pct"/>
                  <w:vMerge w:val="continue"/>
                  <w:vAlign w:val="center"/>
                </w:tcPr>
                <w:p w14:paraId="5BE4E59C">
                  <w:pPr>
                    <w:widowControl/>
                    <w:adjustRightInd w:val="0"/>
                    <w:snapToGrid w:val="0"/>
                    <w:jc w:val="center"/>
                    <w:rPr>
                      <w:kern w:val="0"/>
                      <w:szCs w:val="21"/>
                    </w:rPr>
                  </w:pPr>
                </w:p>
              </w:tc>
              <w:tc>
                <w:tcPr>
                  <w:tcW w:w="1009" w:type="pct"/>
                  <w:vAlign w:val="center"/>
                </w:tcPr>
                <w:p w14:paraId="7749691C">
                  <w:pPr>
                    <w:pStyle w:val="348"/>
                    <w:jc w:val="center"/>
                    <w:rPr>
                      <w:color w:val="000000"/>
                      <w:sz w:val="21"/>
                      <w:szCs w:val="21"/>
                    </w:rPr>
                  </w:pPr>
                  <w:r>
                    <w:rPr>
                      <w:rFonts w:hint="eastAsia"/>
                      <w:sz w:val="21"/>
                      <w:szCs w:val="21"/>
                    </w:rPr>
                    <w:t>1#水泥筒仓除尘器排气筒</w:t>
                  </w:r>
                </w:p>
              </w:tc>
              <w:tc>
                <w:tcPr>
                  <w:tcW w:w="791" w:type="pct"/>
                  <w:vAlign w:val="center"/>
                </w:tcPr>
                <w:p w14:paraId="56525666">
                  <w:pPr>
                    <w:jc w:val="center"/>
                  </w:pPr>
                  <w:r>
                    <w:rPr>
                      <w:rFonts w:hint="eastAsia"/>
                      <w:bCs/>
                      <w:color w:val="000000"/>
                      <w:kern w:val="0"/>
                      <w:szCs w:val="21"/>
                    </w:rPr>
                    <w:t>DA003</w:t>
                  </w:r>
                </w:p>
              </w:tc>
              <w:tc>
                <w:tcPr>
                  <w:tcW w:w="683" w:type="pct"/>
                  <w:vMerge w:val="continue"/>
                  <w:vAlign w:val="center"/>
                </w:tcPr>
                <w:p w14:paraId="2FC97161">
                  <w:pPr>
                    <w:widowControl/>
                    <w:adjustRightInd w:val="0"/>
                    <w:snapToGrid w:val="0"/>
                    <w:jc w:val="center"/>
                    <w:rPr>
                      <w:bCs/>
                      <w:color w:val="000000"/>
                      <w:kern w:val="0"/>
                      <w:szCs w:val="21"/>
                    </w:rPr>
                  </w:pPr>
                </w:p>
              </w:tc>
              <w:tc>
                <w:tcPr>
                  <w:tcW w:w="683" w:type="pct"/>
                  <w:vMerge w:val="continue"/>
                  <w:vAlign w:val="center"/>
                </w:tcPr>
                <w:p w14:paraId="5E0F6669">
                  <w:pPr>
                    <w:widowControl/>
                    <w:adjustRightInd w:val="0"/>
                    <w:snapToGrid w:val="0"/>
                    <w:jc w:val="center"/>
                    <w:rPr>
                      <w:bCs/>
                      <w:color w:val="000000"/>
                      <w:kern w:val="0"/>
                      <w:szCs w:val="21"/>
                    </w:rPr>
                  </w:pPr>
                </w:p>
              </w:tc>
              <w:tc>
                <w:tcPr>
                  <w:tcW w:w="683" w:type="pct"/>
                  <w:vMerge w:val="continue"/>
                  <w:vAlign w:val="center"/>
                </w:tcPr>
                <w:p w14:paraId="0FD8B1A0">
                  <w:pPr>
                    <w:widowControl/>
                    <w:adjustRightInd w:val="0"/>
                    <w:snapToGrid w:val="0"/>
                    <w:jc w:val="center"/>
                    <w:rPr>
                      <w:bCs/>
                      <w:color w:val="000000"/>
                      <w:kern w:val="0"/>
                      <w:szCs w:val="21"/>
                    </w:rPr>
                  </w:pPr>
                </w:p>
              </w:tc>
              <w:tc>
                <w:tcPr>
                  <w:tcW w:w="683" w:type="pct"/>
                  <w:vMerge w:val="continue"/>
                  <w:vAlign w:val="center"/>
                </w:tcPr>
                <w:p w14:paraId="0722F4AF">
                  <w:pPr>
                    <w:widowControl/>
                    <w:adjustRightInd w:val="0"/>
                    <w:snapToGrid w:val="0"/>
                    <w:jc w:val="center"/>
                    <w:rPr>
                      <w:bCs/>
                      <w:color w:val="000000"/>
                      <w:kern w:val="0"/>
                      <w:szCs w:val="21"/>
                    </w:rPr>
                  </w:pPr>
                </w:p>
              </w:tc>
            </w:tr>
            <w:tr w14:paraId="60480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69" w:type="pct"/>
                  <w:vMerge w:val="continue"/>
                  <w:vAlign w:val="center"/>
                </w:tcPr>
                <w:p w14:paraId="367A546D">
                  <w:pPr>
                    <w:widowControl/>
                    <w:adjustRightInd w:val="0"/>
                    <w:snapToGrid w:val="0"/>
                    <w:jc w:val="center"/>
                    <w:rPr>
                      <w:kern w:val="0"/>
                      <w:szCs w:val="21"/>
                    </w:rPr>
                  </w:pPr>
                </w:p>
              </w:tc>
              <w:tc>
                <w:tcPr>
                  <w:tcW w:w="1009" w:type="pct"/>
                  <w:vAlign w:val="center"/>
                </w:tcPr>
                <w:p w14:paraId="0E05B098">
                  <w:pPr>
                    <w:pStyle w:val="348"/>
                    <w:jc w:val="center"/>
                    <w:rPr>
                      <w:sz w:val="21"/>
                      <w:szCs w:val="21"/>
                    </w:rPr>
                  </w:pPr>
                  <w:r>
                    <w:rPr>
                      <w:rFonts w:hint="eastAsia"/>
                      <w:sz w:val="21"/>
                      <w:szCs w:val="21"/>
                    </w:rPr>
                    <w:t>2#水泥筒仓除尘器排气筒</w:t>
                  </w:r>
                </w:p>
              </w:tc>
              <w:tc>
                <w:tcPr>
                  <w:tcW w:w="791" w:type="pct"/>
                  <w:vAlign w:val="center"/>
                </w:tcPr>
                <w:p w14:paraId="0B546647">
                  <w:pPr>
                    <w:jc w:val="center"/>
                    <w:rPr>
                      <w:bCs/>
                      <w:color w:val="000000"/>
                      <w:kern w:val="0"/>
                      <w:szCs w:val="21"/>
                    </w:rPr>
                  </w:pPr>
                  <w:r>
                    <w:rPr>
                      <w:rFonts w:hint="eastAsia"/>
                      <w:bCs/>
                      <w:color w:val="000000"/>
                      <w:kern w:val="0"/>
                      <w:szCs w:val="21"/>
                    </w:rPr>
                    <w:t>DA004</w:t>
                  </w:r>
                </w:p>
              </w:tc>
              <w:tc>
                <w:tcPr>
                  <w:tcW w:w="683" w:type="pct"/>
                  <w:vMerge w:val="continue"/>
                  <w:vAlign w:val="center"/>
                </w:tcPr>
                <w:p w14:paraId="3FE467F7">
                  <w:pPr>
                    <w:widowControl/>
                    <w:adjustRightInd w:val="0"/>
                    <w:snapToGrid w:val="0"/>
                    <w:jc w:val="center"/>
                    <w:rPr>
                      <w:bCs/>
                      <w:color w:val="000000"/>
                      <w:kern w:val="0"/>
                      <w:szCs w:val="21"/>
                    </w:rPr>
                  </w:pPr>
                </w:p>
              </w:tc>
              <w:tc>
                <w:tcPr>
                  <w:tcW w:w="683" w:type="pct"/>
                  <w:vMerge w:val="continue"/>
                  <w:vAlign w:val="center"/>
                </w:tcPr>
                <w:p w14:paraId="38755515">
                  <w:pPr>
                    <w:widowControl/>
                    <w:adjustRightInd w:val="0"/>
                    <w:snapToGrid w:val="0"/>
                    <w:jc w:val="center"/>
                    <w:rPr>
                      <w:bCs/>
                      <w:color w:val="000000"/>
                      <w:kern w:val="0"/>
                      <w:szCs w:val="21"/>
                    </w:rPr>
                  </w:pPr>
                </w:p>
              </w:tc>
              <w:tc>
                <w:tcPr>
                  <w:tcW w:w="683" w:type="pct"/>
                  <w:vMerge w:val="continue"/>
                  <w:vAlign w:val="center"/>
                </w:tcPr>
                <w:p w14:paraId="084DE51E">
                  <w:pPr>
                    <w:widowControl/>
                    <w:adjustRightInd w:val="0"/>
                    <w:snapToGrid w:val="0"/>
                    <w:jc w:val="center"/>
                    <w:rPr>
                      <w:bCs/>
                      <w:color w:val="000000"/>
                      <w:kern w:val="0"/>
                      <w:szCs w:val="21"/>
                    </w:rPr>
                  </w:pPr>
                </w:p>
              </w:tc>
              <w:tc>
                <w:tcPr>
                  <w:tcW w:w="683" w:type="pct"/>
                  <w:vMerge w:val="continue"/>
                  <w:vAlign w:val="center"/>
                </w:tcPr>
                <w:p w14:paraId="2F5B6540">
                  <w:pPr>
                    <w:widowControl/>
                    <w:adjustRightInd w:val="0"/>
                    <w:snapToGrid w:val="0"/>
                    <w:jc w:val="center"/>
                    <w:rPr>
                      <w:bCs/>
                      <w:color w:val="000000"/>
                      <w:kern w:val="0"/>
                      <w:szCs w:val="21"/>
                    </w:rPr>
                  </w:pPr>
                </w:p>
              </w:tc>
            </w:tr>
            <w:tr w14:paraId="3E55D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69" w:type="pct"/>
                  <w:vMerge w:val="continue"/>
                  <w:vAlign w:val="center"/>
                </w:tcPr>
                <w:p w14:paraId="4673CA84">
                  <w:pPr>
                    <w:widowControl/>
                    <w:adjustRightInd w:val="0"/>
                    <w:snapToGrid w:val="0"/>
                    <w:jc w:val="center"/>
                    <w:rPr>
                      <w:kern w:val="0"/>
                      <w:szCs w:val="21"/>
                    </w:rPr>
                  </w:pPr>
                </w:p>
              </w:tc>
              <w:tc>
                <w:tcPr>
                  <w:tcW w:w="1009" w:type="pct"/>
                  <w:vAlign w:val="center"/>
                </w:tcPr>
                <w:p w14:paraId="632D018B">
                  <w:pPr>
                    <w:pStyle w:val="348"/>
                    <w:jc w:val="center"/>
                    <w:rPr>
                      <w:sz w:val="21"/>
                      <w:szCs w:val="21"/>
                    </w:rPr>
                  </w:pPr>
                  <w:r>
                    <w:rPr>
                      <w:rFonts w:hint="eastAsia"/>
                      <w:sz w:val="21"/>
                      <w:szCs w:val="21"/>
                    </w:rPr>
                    <w:t>粉煤灰筒仓除尘器排气筒</w:t>
                  </w:r>
                </w:p>
              </w:tc>
              <w:tc>
                <w:tcPr>
                  <w:tcW w:w="791" w:type="pct"/>
                  <w:vAlign w:val="center"/>
                </w:tcPr>
                <w:p w14:paraId="50A1184C">
                  <w:pPr>
                    <w:jc w:val="center"/>
                    <w:rPr>
                      <w:bCs/>
                      <w:color w:val="000000"/>
                      <w:kern w:val="0"/>
                      <w:szCs w:val="21"/>
                    </w:rPr>
                  </w:pPr>
                  <w:r>
                    <w:rPr>
                      <w:rFonts w:hint="eastAsia"/>
                      <w:bCs/>
                      <w:color w:val="000000"/>
                      <w:kern w:val="0"/>
                      <w:szCs w:val="21"/>
                    </w:rPr>
                    <w:t>DA005</w:t>
                  </w:r>
                </w:p>
              </w:tc>
              <w:tc>
                <w:tcPr>
                  <w:tcW w:w="683" w:type="pct"/>
                  <w:vMerge w:val="continue"/>
                  <w:vAlign w:val="center"/>
                </w:tcPr>
                <w:p w14:paraId="4F2DFD8A">
                  <w:pPr>
                    <w:widowControl/>
                    <w:adjustRightInd w:val="0"/>
                    <w:snapToGrid w:val="0"/>
                    <w:jc w:val="center"/>
                    <w:rPr>
                      <w:bCs/>
                      <w:color w:val="000000"/>
                      <w:kern w:val="0"/>
                      <w:szCs w:val="21"/>
                    </w:rPr>
                  </w:pPr>
                </w:p>
              </w:tc>
              <w:tc>
                <w:tcPr>
                  <w:tcW w:w="683" w:type="pct"/>
                  <w:vMerge w:val="continue"/>
                  <w:vAlign w:val="center"/>
                </w:tcPr>
                <w:p w14:paraId="3264807C">
                  <w:pPr>
                    <w:widowControl/>
                    <w:adjustRightInd w:val="0"/>
                    <w:snapToGrid w:val="0"/>
                    <w:jc w:val="center"/>
                    <w:rPr>
                      <w:bCs/>
                      <w:color w:val="000000"/>
                      <w:kern w:val="0"/>
                      <w:szCs w:val="21"/>
                    </w:rPr>
                  </w:pPr>
                </w:p>
              </w:tc>
              <w:tc>
                <w:tcPr>
                  <w:tcW w:w="683" w:type="pct"/>
                  <w:vMerge w:val="continue"/>
                  <w:vAlign w:val="center"/>
                </w:tcPr>
                <w:p w14:paraId="54A1D75C">
                  <w:pPr>
                    <w:widowControl/>
                    <w:adjustRightInd w:val="0"/>
                    <w:snapToGrid w:val="0"/>
                    <w:jc w:val="center"/>
                    <w:rPr>
                      <w:bCs/>
                      <w:color w:val="000000"/>
                      <w:kern w:val="0"/>
                      <w:szCs w:val="21"/>
                    </w:rPr>
                  </w:pPr>
                </w:p>
              </w:tc>
              <w:tc>
                <w:tcPr>
                  <w:tcW w:w="683" w:type="pct"/>
                  <w:vMerge w:val="continue"/>
                  <w:vAlign w:val="center"/>
                </w:tcPr>
                <w:p w14:paraId="5FCFB4BE">
                  <w:pPr>
                    <w:widowControl/>
                    <w:adjustRightInd w:val="0"/>
                    <w:snapToGrid w:val="0"/>
                    <w:jc w:val="center"/>
                    <w:rPr>
                      <w:bCs/>
                      <w:color w:val="000000"/>
                      <w:kern w:val="0"/>
                      <w:szCs w:val="21"/>
                    </w:rPr>
                  </w:pPr>
                </w:p>
              </w:tc>
            </w:tr>
            <w:tr w14:paraId="18089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469" w:type="pct"/>
                  <w:vMerge w:val="continue"/>
                  <w:vAlign w:val="center"/>
                </w:tcPr>
                <w:p w14:paraId="7D76DE5D">
                  <w:pPr>
                    <w:widowControl/>
                    <w:adjustRightInd w:val="0"/>
                    <w:snapToGrid w:val="0"/>
                    <w:jc w:val="center"/>
                    <w:rPr>
                      <w:kern w:val="0"/>
                      <w:szCs w:val="21"/>
                    </w:rPr>
                  </w:pPr>
                </w:p>
              </w:tc>
              <w:tc>
                <w:tcPr>
                  <w:tcW w:w="1009" w:type="pct"/>
                  <w:vAlign w:val="center"/>
                </w:tcPr>
                <w:p w14:paraId="543D8128">
                  <w:pPr>
                    <w:pStyle w:val="348"/>
                    <w:jc w:val="center"/>
                    <w:rPr>
                      <w:color w:val="000000"/>
                      <w:sz w:val="21"/>
                      <w:szCs w:val="21"/>
                    </w:rPr>
                  </w:pPr>
                  <w:r>
                    <w:rPr>
                      <w:rFonts w:hint="eastAsia"/>
                      <w:sz w:val="21"/>
                      <w:szCs w:val="21"/>
                    </w:rPr>
                    <w:t>成品仓散装除尘器+成品仓仓顶除尘器排气筒</w:t>
                  </w:r>
                </w:p>
              </w:tc>
              <w:tc>
                <w:tcPr>
                  <w:tcW w:w="791" w:type="pct"/>
                  <w:vAlign w:val="center"/>
                </w:tcPr>
                <w:p w14:paraId="5690C09C">
                  <w:pPr>
                    <w:jc w:val="center"/>
                  </w:pPr>
                  <w:r>
                    <w:rPr>
                      <w:rFonts w:hint="eastAsia"/>
                      <w:bCs/>
                      <w:color w:val="000000"/>
                      <w:kern w:val="0"/>
                      <w:szCs w:val="21"/>
                    </w:rPr>
                    <w:t>DA006</w:t>
                  </w:r>
                </w:p>
              </w:tc>
              <w:tc>
                <w:tcPr>
                  <w:tcW w:w="683" w:type="pct"/>
                  <w:vMerge w:val="continue"/>
                  <w:vAlign w:val="center"/>
                </w:tcPr>
                <w:p w14:paraId="0A39FBCA">
                  <w:pPr>
                    <w:widowControl/>
                    <w:adjustRightInd w:val="0"/>
                    <w:snapToGrid w:val="0"/>
                    <w:jc w:val="center"/>
                    <w:rPr>
                      <w:bCs/>
                      <w:color w:val="000000"/>
                      <w:kern w:val="0"/>
                      <w:szCs w:val="21"/>
                    </w:rPr>
                  </w:pPr>
                </w:p>
              </w:tc>
              <w:tc>
                <w:tcPr>
                  <w:tcW w:w="683" w:type="pct"/>
                  <w:vMerge w:val="continue"/>
                  <w:vAlign w:val="center"/>
                </w:tcPr>
                <w:p w14:paraId="6D7D2310">
                  <w:pPr>
                    <w:widowControl/>
                    <w:adjustRightInd w:val="0"/>
                    <w:snapToGrid w:val="0"/>
                    <w:jc w:val="center"/>
                    <w:rPr>
                      <w:bCs/>
                      <w:color w:val="000000"/>
                      <w:kern w:val="0"/>
                      <w:szCs w:val="21"/>
                    </w:rPr>
                  </w:pPr>
                </w:p>
              </w:tc>
              <w:tc>
                <w:tcPr>
                  <w:tcW w:w="683" w:type="pct"/>
                  <w:vMerge w:val="continue"/>
                  <w:vAlign w:val="center"/>
                </w:tcPr>
                <w:p w14:paraId="74B6FCDE">
                  <w:pPr>
                    <w:widowControl/>
                    <w:adjustRightInd w:val="0"/>
                    <w:snapToGrid w:val="0"/>
                    <w:jc w:val="center"/>
                    <w:rPr>
                      <w:bCs/>
                      <w:color w:val="000000"/>
                      <w:kern w:val="0"/>
                      <w:szCs w:val="21"/>
                    </w:rPr>
                  </w:pPr>
                </w:p>
              </w:tc>
              <w:tc>
                <w:tcPr>
                  <w:tcW w:w="683" w:type="pct"/>
                  <w:vMerge w:val="continue"/>
                  <w:vAlign w:val="center"/>
                </w:tcPr>
                <w:p w14:paraId="2B0FCBC2">
                  <w:pPr>
                    <w:widowControl/>
                    <w:adjustRightInd w:val="0"/>
                    <w:snapToGrid w:val="0"/>
                    <w:jc w:val="center"/>
                    <w:rPr>
                      <w:bCs/>
                      <w:color w:val="000000"/>
                      <w:kern w:val="0"/>
                      <w:szCs w:val="21"/>
                    </w:rPr>
                  </w:pPr>
                </w:p>
              </w:tc>
            </w:tr>
            <w:tr w14:paraId="0564F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69" w:type="pct"/>
                  <w:vAlign w:val="center"/>
                </w:tcPr>
                <w:p w14:paraId="1C653959">
                  <w:pPr>
                    <w:widowControl/>
                    <w:adjustRightInd w:val="0"/>
                    <w:snapToGrid w:val="0"/>
                    <w:jc w:val="center"/>
                    <w:rPr>
                      <w:kern w:val="0"/>
                      <w:szCs w:val="21"/>
                    </w:rPr>
                  </w:pPr>
                  <w:r>
                    <w:rPr>
                      <w:rFonts w:hint="eastAsia"/>
                      <w:kern w:val="0"/>
                      <w:szCs w:val="21"/>
                    </w:rPr>
                    <w:t>无</w:t>
                  </w:r>
                </w:p>
                <w:p w14:paraId="7255BBF5">
                  <w:pPr>
                    <w:widowControl/>
                    <w:adjustRightInd w:val="0"/>
                    <w:snapToGrid w:val="0"/>
                    <w:jc w:val="center"/>
                    <w:rPr>
                      <w:kern w:val="0"/>
                      <w:szCs w:val="21"/>
                    </w:rPr>
                  </w:pPr>
                  <w:r>
                    <w:rPr>
                      <w:rFonts w:hint="eastAsia"/>
                      <w:kern w:val="0"/>
                      <w:szCs w:val="21"/>
                    </w:rPr>
                    <w:t>组</w:t>
                  </w:r>
                </w:p>
                <w:p w14:paraId="5E18A1C9">
                  <w:pPr>
                    <w:widowControl/>
                    <w:adjustRightInd w:val="0"/>
                    <w:snapToGrid w:val="0"/>
                    <w:jc w:val="center"/>
                    <w:rPr>
                      <w:kern w:val="0"/>
                      <w:szCs w:val="21"/>
                    </w:rPr>
                  </w:pPr>
                  <w:r>
                    <w:rPr>
                      <w:rFonts w:hint="eastAsia"/>
                      <w:kern w:val="0"/>
                      <w:szCs w:val="21"/>
                    </w:rPr>
                    <w:t>织</w:t>
                  </w:r>
                </w:p>
              </w:tc>
              <w:tc>
                <w:tcPr>
                  <w:tcW w:w="1009" w:type="pct"/>
                  <w:vAlign w:val="center"/>
                </w:tcPr>
                <w:p w14:paraId="7203788E">
                  <w:pPr>
                    <w:widowControl/>
                    <w:adjustRightInd w:val="0"/>
                    <w:snapToGrid w:val="0"/>
                    <w:jc w:val="center"/>
                    <w:rPr>
                      <w:bCs/>
                      <w:kern w:val="0"/>
                      <w:szCs w:val="21"/>
                    </w:rPr>
                  </w:pPr>
                  <w:r>
                    <w:rPr>
                      <w:rFonts w:hint="eastAsia"/>
                      <w:bCs/>
                      <w:kern w:val="0"/>
                      <w:szCs w:val="21"/>
                    </w:rPr>
                    <w:t>厂界</w:t>
                  </w:r>
                </w:p>
              </w:tc>
              <w:tc>
                <w:tcPr>
                  <w:tcW w:w="791" w:type="pct"/>
                  <w:vAlign w:val="center"/>
                </w:tcPr>
                <w:p w14:paraId="0A34C5F1">
                  <w:pPr>
                    <w:widowControl/>
                    <w:adjustRightInd w:val="0"/>
                    <w:snapToGrid w:val="0"/>
                    <w:jc w:val="center"/>
                    <w:rPr>
                      <w:bCs/>
                      <w:color w:val="000000"/>
                      <w:kern w:val="0"/>
                      <w:szCs w:val="21"/>
                    </w:rPr>
                  </w:pPr>
                  <w:r>
                    <w:rPr>
                      <w:rFonts w:hint="eastAsia"/>
                      <w:bCs/>
                      <w:color w:val="000000"/>
                      <w:kern w:val="0"/>
                      <w:szCs w:val="21"/>
                    </w:rPr>
                    <w:t>/</w:t>
                  </w:r>
                </w:p>
              </w:tc>
              <w:tc>
                <w:tcPr>
                  <w:tcW w:w="683" w:type="pct"/>
                  <w:vAlign w:val="center"/>
                </w:tcPr>
                <w:p w14:paraId="259A66D3">
                  <w:pPr>
                    <w:widowControl/>
                    <w:adjustRightInd w:val="0"/>
                    <w:snapToGrid w:val="0"/>
                    <w:jc w:val="center"/>
                    <w:rPr>
                      <w:bCs/>
                      <w:color w:val="000000"/>
                      <w:kern w:val="0"/>
                      <w:szCs w:val="21"/>
                    </w:rPr>
                  </w:pPr>
                  <w:r>
                    <w:rPr>
                      <w:rFonts w:hint="eastAsia"/>
                      <w:bCs/>
                      <w:color w:val="000000"/>
                      <w:kern w:val="0"/>
                      <w:szCs w:val="21"/>
                    </w:rPr>
                    <w:t>上风向1个参照点，下风向厂界浓度最高处4个监控点</w:t>
                  </w:r>
                </w:p>
              </w:tc>
              <w:tc>
                <w:tcPr>
                  <w:tcW w:w="683" w:type="pct"/>
                  <w:vAlign w:val="center"/>
                </w:tcPr>
                <w:p w14:paraId="2F676FF0">
                  <w:pPr>
                    <w:widowControl/>
                    <w:adjustRightInd w:val="0"/>
                    <w:snapToGrid w:val="0"/>
                    <w:jc w:val="center"/>
                    <w:rPr>
                      <w:bCs/>
                      <w:color w:val="000000"/>
                      <w:kern w:val="0"/>
                      <w:szCs w:val="21"/>
                    </w:rPr>
                  </w:pPr>
                  <w:r>
                    <w:rPr>
                      <w:rFonts w:hint="eastAsia"/>
                      <w:bCs/>
                      <w:color w:val="000000"/>
                      <w:kern w:val="0"/>
                      <w:szCs w:val="21"/>
                    </w:rPr>
                    <w:t>颗粒物</w:t>
                  </w:r>
                </w:p>
              </w:tc>
              <w:tc>
                <w:tcPr>
                  <w:tcW w:w="683" w:type="pct"/>
                  <w:vAlign w:val="center"/>
                </w:tcPr>
                <w:p w14:paraId="2E3E2860">
                  <w:pPr>
                    <w:widowControl/>
                    <w:adjustRightInd w:val="0"/>
                    <w:snapToGrid w:val="0"/>
                    <w:jc w:val="center"/>
                    <w:rPr>
                      <w:bCs/>
                      <w:color w:val="000000"/>
                      <w:kern w:val="0"/>
                      <w:szCs w:val="21"/>
                    </w:rPr>
                  </w:pPr>
                  <w:r>
                    <w:rPr>
                      <w:rFonts w:hint="eastAsia"/>
                      <w:bCs/>
                      <w:kern w:val="0"/>
                      <w:szCs w:val="21"/>
                    </w:rPr>
                    <w:t>1次/季度</w:t>
                  </w:r>
                </w:p>
              </w:tc>
              <w:tc>
                <w:tcPr>
                  <w:tcW w:w="683" w:type="pct"/>
                  <w:vMerge w:val="continue"/>
                  <w:vAlign w:val="center"/>
                </w:tcPr>
                <w:p w14:paraId="219FAAB7">
                  <w:pPr>
                    <w:widowControl/>
                    <w:adjustRightInd w:val="0"/>
                    <w:snapToGrid w:val="0"/>
                    <w:jc w:val="center"/>
                    <w:rPr>
                      <w:bCs/>
                      <w:color w:val="000000"/>
                      <w:kern w:val="0"/>
                      <w:szCs w:val="21"/>
                    </w:rPr>
                  </w:pPr>
                </w:p>
              </w:tc>
            </w:tr>
          </w:tbl>
          <w:p w14:paraId="0E989380">
            <w:pPr>
              <w:adjustRightInd w:val="0"/>
              <w:snapToGrid w:val="0"/>
              <w:spacing w:line="360" w:lineRule="auto"/>
              <w:ind w:firstLine="480" w:firstLineChars="200"/>
              <w:rPr>
                <w:bCs/>
                <w:color w:val="FF0000"/>
                <w:sz w:val="24"/>
              </w:rPr>
            </w:pPr>
          </w:p>
        </w:tc>
      </w:tr>
    </w:tbl>
    <w:p w14:paraId="5AAAC562">
      <w:pPr>
        <w:adjustRightInd w:val="0"/>
        <w:snapToGrid w:val="0"/>
        <w:spacing w:line="360" w:lineRule="auto"/>
        <w:rPr>
          <w:rFonts w:ascii="宋体" w:cs="宋体"/>
          <w:b/>
          <w:kern w:val="0"/>
          <w:sz w:val="28"/>
          <w:szCs w:val="28"/>
        </w:rPr>
        <w:sectPr>
          <w:pgSz w:w="11907" w:h="16840"/>
          <w:pgMar w:top="1701" w:right="1531" w:bottom="2127" w:left="1531" w:header="851" w:footer="851" w:gutter="0"/>
          <w:pgNumType w:fmt="numberInDash"/>
          <w:cols w:space="720" w:num="1"/>
          <w:docGrid w:linePitch="312" w:charSpace="0"/>
        </w:sect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
        <w:gridCol w:w="13562"/>
      </w:tblGrid>
      <w:tr w14:paraId="6046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386" w:type="dxa"/>
            <w:tcBorders>
              <w:top w:val="single" w:color="auto" w:sz="4" w:space="0"/>
              <w:left w:val="single" w:color="auto" w:sz="4" w:space="0"/>
              <w:bottom w:val="single" w:color="auto" w:sz="4" w:space="0"/>
              <w:right w:val="single" w:color="auto" w:sz="4" w:space="0"/>
            </w:tcBorders>
          </w:tcPr>
          <w:p w14:paraId="5B80C5E3">
            <w:pPr>
              <w:pStyle w:val="34"/>
              <w:jc w:val="center"/>
              <w:outlineLvl w:val="0"/>
              <w:rPr>
                <w:rFonts w:hint="eastAsia" w:ascii="黑体" w:hAnsi="黑体" w:eastAsia="黑体"/>
                <w:snapToGrid w:val="0"/>
                <w:sz w:val="30"/>
                <w:szCs w:val="30"/>
              </w:rPr>
            </w:pPr>
          </w:p>
        </w:tc>
        <w:tc>
          <w:tcPr>
            <w:tcW w:w="13562" w:type="dxa"/>
            <w:tcBorders>
              <w:top w:val="single" w:color="auto" w:sz="4" w:space="0"/>
              <w:left w:val="single" w:color="auto" w:sz="4" w:space="0"/>
              <w:bottom w:val="single" w:color="auto" w:sz="4" w:space="0"/>
              <w:right w:val="single" w:color="auto" w:sz="4" w:space="0"/>
            </w:tcBorders>
          </w:tcPr>
          <w:p w14:paraId="76347898">
            <w:pPr>
              <w:spacing w:line="360" w:lineRule="auto"/>
              <w:jc w:val="center"/>
              <w:rPr>
                <w:color w:val="FF0000"/>
                <w:szCs w:val="21"/>
              </w:rPr>
            </w:pPr>
            <w:r>
              <w:rPr>
                <w:rFonts w:hint="eastAsia"/>
                <w:b/>
                <w:szCs w:val="21"/>
              </w:rPr>
              <w:t>表</w:t>
            </w:r>
            <w:r>
              <w:rPr>
                <w:b/>
                <w:szCs w:val="21"/>
              </w:rPr>
              <w:t>4-</w:t>
            </w:r>
            <w:r>
              <w:rPr>
                <w:rFonts w:hint="eastAsia"/>
                <w:b/>
                <w:szCs w:val="21"/>
              </w:rPr>
              <w:t>3</w:t>
            </w:r>
            <w:r>
              <w:rPr>
                <w:b/>
                <w:szCs w:val="21"/>
              </w:rPr>
              <w:t xml:space="preserve">  </w:t>
            </w:r>
            <w:r>
              <w:rPr>
                <w:rFonts w:hint="eastAsia"/>
                <w:b/>
                <w:szCs w:val="21"/>
              </w:rPr>
              <w:t>废气污染物产排情况汇总表</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063"/>
              <w:gridCol w:w="929"/>
              <w:gridCol w:w="2301"/>
              <w:gridCol w:w="1097"/>
              <w:gridCol w:w="1316"/>
              <w:gridCol w:w="1276"/>
              <w:gridCol w:w="1297"/>
              <w:gridCol w:w="1316"/>
              <w:gridCol w:w="1284"/>
            </w:tblGrid>
            <w:tr w14:paraId="743B7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Align w:val="center"/>
                </w:tcPr>
                <w:p w14:paraId="560344F8">
                  <w:pPr>
                    <w:jc w:val="center"/>
                  </w:pPr>
                  <w:r>
                    <w:rPr>
                      <w:rFonts w:hint="eastAsia"/>
                    </w:rPr>
                    <w:t>产排污环节</w:t>
                  </w:r>
                </w:p>
              </w:tc>
              <w:tc>
                <w:tcPr>
                  <w:tcW w:w="399" w:type="pct"/>
                  <w:vAlign w:val="center"/>
                </w:tcPr>
                <w:p w14:paraId="5679D1B5">
                  <w:pPr>
                    <w:jc w:val="center"/>
                  </w:pPr>
                  <w:r>
                    <w:rPr>
                      <w:rFonts w:hint="eastAsia"/>
                    </w:rPr>
                    <w:t>污染物</w:t>
                  </w:r>
                </w:p>
              </w:tc>
              <w:tc>
                <w:tcPr>
                  <w:tcW w:w="349" w:type="pct"/>
                  <w:vAlign w:val="center"/>
                </w:tcPr>
                <w:p w14:paraId="1A6EF103">
                  <w:pPr>
                    <w:jc w:val="center"/>
                  </w:pPr>
                  <w:r>
                    <w:rPr>
                      <w:rFonts w:hint="eastAsia"/>
                    </w:rPr>
                    <w:t>产生量（t/a）</w:t>
                  </w:r>
                </w:p>
              </w:tc>
              <w:tc>
                <w:tcPr>
                  <w:tcW w:w="864" w:type="pct"/>
                  <w:vAlign w:val="center"/>
                </w:tcPr>
                <w:p w14:paraId="2D20B4EA">
                  <w:pPr>
                    <w:jc w:val="center"/>
                  </w:pPr>
                  <w:r>
                    <w:rPr>
                      <w:rFonts w:hint="eastAsia"/>
                    </w:rPr>
                    <w:t>污染防治设施</w:t>
                  </w:r>
                </w:p>
              </w:tc>
              <w:tc>
                <w:tcPr>
                  <w:tcW w:w="412" w:type="pct"/>
                  <w:vAlign w:val="center"/>
                </w:tcPr>
                <w:p w14:paraId="5AC95105">
                  <w:pPr>
                    <w:jc w:val="center"/>
                  </w:pPr>
                  <w:r>
                    <w:rPr>
                      <w:rFonts w:hint="eastAsia"/>
                    </w:rPr>
                    <w:t>治理效率（%）</w:t>
                  </w:r>
                </w:p>
              </w:tc>
              <w:tc>
                <w:tcPr>
                  <w:tcW w:w="494" w:type="pct"/>
                  <w:vAlign w:val="center"/>
                </w:tcPr>
                <w:p w14:paraId="783608C0">
                  <w:pPr>
                    <w:jc w:val="center"/>
                  </w:pPr>
                  <w:r>
                    <w:rPr>
                      <w:rFonts w:hint="eastAsia"/>
                    </w:rPr>
                    <w:t>排放浓度（mg/m</w:t>
                  </w:r>
                  <w:r>
                    <w:rPr>
                      <w:rFonts w:hint="eastAsia"/>
                      <w:vertAlign w:val="superscript"/>
                    </w:rPr>
                    <w:t>3</w:t>
                  </w:r>
                  <w:r>
                    <w:rPr>
                      <w:rFonts w:hint="eastAsia"/>
                    </w:rPr>
                    <w:t>）</w:t>
                  </w:r>
                </w:p>
              </w:tc>
              <w:tc>
                <w:tcPr>
                  <w:tcW w:w="479" w:type="pct"/>
                  <w:vAlign w:val="center"/>
                </w:tcPr>
                <w:p w14:paraId="4BFAA915">
                  <w:pPr>
                    <w:jc w:val="center"/>
                  </w:pPr>
                  <w:r>
                    <w:rPr>
                      <w:rFonts w:hint="eastAsia"/>
                    </w:rPr>
                    <w:t>排放量（t/a）</w:t>
                  </w:r>
                </w:p>
              </w:tc>
              <w:tc>
                <w:tcPr>
                  <w:tcW w:w="487" w:type="pct"/>
                  <w:vAlign w:val="center"/>
                </w:tcPr>
                <w:p w14:paraId="6A3563DE">
                  <w:pPr>
                    <w:jc w:val="center"/>
                  </w:pPr>
                  <w:r>
                    <w:rPr>
                      <w:rFonts w:hint="eastAsia"/>
                    </w:rPr>
                    <w:t>排放速率（kg/h）</w:t>
                  </w:r>
                </w:p>
              </w:tc>
              <w:tc>
                <w:tcPr>
                  <w:tcW w:w="494" w:type="pct"/>
                  <w:vAlign w:val="center"/>
                </w:tcPr>
                <w:p w14:paraId="1D45224D">
                  <w:pPr>
                    <w:jc w:val="center"/>
                  </w:pPr>
                  <w:r>
                    <w:rPr>
                      <w:rFonts w:hint="eastAsia"/>
                    </w:rPr>
                    <w:t>排放标准（</w:t>
                  </w:r>
                  <w:r>
                    <w:t>mg/m</w:t>
                  </w:r>
                  <w:r>
                    <w:rPr>
                      <w:vertAlign w:val="superscript"/>
                    </w:rPr>
                    <w:t>3</w:t>
                  </w:r>
                  <w:r>
                    <w:rPr>
                      <w:rFonts w:hint="eastAsia"/>
                    </w:rPr>
                    <w:t>）</w:t>
                  </w:r>
                </w:p>
              </w:tc>
              <w:tc>
                <w:tcPr>
                  <w:tcW w:w="482" w:type="pct"/>
                  <w:vAlign w:val="center"/>
                </w:tcPr>
                <w:p w14:paraId="0041B7F9">
                  <w:pPr>
                    <w:jc w:val="center"/>
                  </w:pPr>
                  <w:r>
                    <w:rPr>
                      <w:rFonts w:hint="eastAsia"/>
                    </w:rPr>
                    <w:t>排放形式</w:t>
                  </w:r>
                </w:p>
              </w:tc>
            </w:tr>
            <w:tr w14:paraId="35649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Align w:val="center"/>
                </w:tcPr>
                <w:p w14:paraId="2750E1B8">
                  <w:pPr>
                    <w:jc w:val="center"/>
                  </w:pPr>
                  <w:r>
                    <w:rPr>
                      <w:rFonts w:hint="eastAsia"/>
                    </w:rPr>
                    <w:t>原料库</w:t>
                  </w:r>
                </w:p>
              </w:tc>
              <w:tc>
                <w:tcPr>
                  <w:tcW w:w="399" w:type="pct"/>
                  <w:vMerge w:val="restart"/>
                  <w:vAlign w:val="center"/>
                </w:tcPr>
                <w:p w14:paraId="64F00F4E">
                  <w:pPr>
                    <w:jc w:val="center"/>
                  </w:pPr>
                  <w:r>
                    <w:rPr>
                      <w:rFonts w:hint="eastAsia"/>
                    </w:rPr>
                    <w:t>颗粒物</w:t>
                  </w:r>
                </w:p>
              </w:tc>
              <w:tc>
                <w:tcPr>
                  <w:tcW w:w="349" w:type="pct"/>
                  <w:vAlign w:val="center"/>
                </w:tcPr>
                <w:p w14:paraId="68881DC4">
                  <w:pPr>
                    <w:jc w:val="center"/>
                  </w:pPr>
                  <w:r>
                    <w:rPr>
                      <w:rFonts w:hint="eastAsia"/>
                    </w:rPr>
                    <w:t>18.78</w:t>
                  </w:r>
                </w:p>
              </w:tc>
              <w:tc>
                <w:tcPr>
                  <w:tcW w:w="864" w:type="pct"/>
                  <w:vAlign w:val="center"/>
                </w:tcPr>
                <w:p w14:paraId="48EAE0C3">
                  <w:pPr>
                    <w:jc w:val="center"/>
                  </w:pPr>
                  <w:r>
                    <w:rPr>
                      <w:rFonts w:hint="eastAsia"/>
                    </w:rPr>
                    <w:t>采用封闭式储料棚；库门设计硬质门，库内作业时关闭硬质门；卸载时利用雾炮车进行喷雾降尘。</w:t>
                  </w:r>
                </w:p>
              </w:tc>
              <w:tc>
                <w:tcPr>
                  <w:tcW w:w="412" w:type="pct"/>
                  <w:vAlign w:val="center"/>
                </w:tcPr>
                <w:p w14:paraId="75BD7CA4">
                  <w:pPr>
                    <w:jc w:val="center"/>
                  </w:pPr>
                  <w:r>
                    <w:rPr>
                      <w:rFonts w:hint="eastAsia"/>
                    </w:rPr>
                    <w:t>99</w:t>
                  </w:r>
                </w:p>
              </w:tc>
              <w:tc>
                <w:tcPr>
                  <w:tcW w:w="494" w:type="pct"/>
                  <w:vAlign w:val="center"/>
                </w:tcPr>
                <w:p w14:paraId="01639DB0">
                  <w:pPr>
                    <w:jc w:val="center"/>
                  </w:pPr>
                  <w:r>
                    <w:rPr>
                      <w:rFonts w:hint="eastAsia"/>
                    </w:rPr>
                    <w:t>/</w:t>
                  </w:r>
                </w:p>
              </w:tc>
              <w:tc>
                <w:tcPr>
                  <w:tcW w:w="479" w:type="pct"/>
                  <w:vAlign w:val="center"/>
                </w:tcPr>
                <w:p w14:paraId="65A51106">
                  <w:pPr>
                    <w:jc w:val="center"/>
                  </w:pPr>
                  <w:r>
                    <w:rPr>
                      <w:rFonts w:hint="eastAsia"/>
                    </w:rPr>
                    <w:t>0.075</w:t>
                  </w:r>
                </w:p>
              </w:tc>
              <w:tc>
                <w:tcPr>
                  <w:tcW w:w="487" w:type="pct"/>
                  <w:vAlign w:val="center"/>
                </w:tcPr>
                <w:p w14:paraId="088AF3D8">
                  <w:pPr>
                    <w:jc w:val="center"/>
                  </w:pPr>
                  <w:r>
                    <w:rPr>
                      <w:rFonts w:hint="eastAsia"/>
                    </w:rPr>
                    <w:t>/</w:t>
                  </w:r>
                </w:p>
              </w:tc>
              <w:tc>
                <w:tcPr>
                  <w:tcW w:w="494" w:type="pct"/>
                  <w:vAlign w:val="center"/>
                </w:tcPr>
                <w:p w14:paraId="55B94A2F">
                  <w:pPr>
                    <w:jc w:val="center"/>
                  </w:pPr>
                  <w:r>
                    <w:rPr>
                      <w:rFonts w:hint="eastAsia"/>
                    </w:rPr>
                    <w:t>1.0</w:t>
                  </w:r>
                </w:p>
              </w:tc>
              <w:tc>
                <w:tcPr>
                  <w:tcW w:w="482" w:type="pct"/>
                  <w:vAlign w:val="center"/>
                </w:tcPr>
                <w:p w14:paraId="405FC710">
                  <w:pPr>
                    <w:jc w:val="center"/>
                  </w:pPr>
                  <w:r>
                    <w:rPr>
                      <w:rFonts w:hint="eastAsia"/>
                    </w:rPr>
                    <w:t>无组织</w:t>
                  </w:r>
                </w:p>
              </w:tc>
            </w:tr>
            <w:tr w14:paraId="2CCC0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Align w:val="center"/>
                </w:tcPr>
                <w:p w14:paraId="6E055061">
                  <w:pPr>
                    <w:jc w:val="center"/>
                  </w:pPr>
                  <w:r>
                    <w:rPr>
                      <w:rFonts w:hint="eastAsia"/>
                    </w:rPr>
                    <w:t>运输扬尘</w:t>
                  </w:r>
                </w:p>
              </w:tc>
              <w:tc>
                <w:tcPr>
                  <w:tcW w:w="399" w:type="pct"/>
                  <w:vMerge w:val="continue"/>
                  <w:vAlign w:val="center"/>
                </w:tcPr>
                <w:p w14:paraId="5CE98E93">
                  <w:pPr>
                    <w:jc w:val="center"/>
                  </w:pPr>
                </w:p>
              </w:tc>
              <w:tc>
                <w:tcPr>
                  <w:tcW w:w="349" w:type="pct"/>
                  <w:vAlign w:val="center"/>
                </w:tcPr>
                <w:p w14:paraId="070F88A1">
                  <w:pPr>
                    <w:jc w:val="center"/>
                  </w:pPr>
                  <w:r>
                    <w:rPr>
                      <w:rFonts w:hint="eastAsia"/>
                    </w:rPr>
                    <w:t>/</w:t>
                  </w:r>
                </w:p>
              </w:tc>
              <w:tc>
                <w:tcPr>
                  <w:tcW w:w="864" w:type="pct"/>
                  <w:vAlign w:val="center"/>
                </w:tcPr>
                <w:p w14:paraId="79F93930">
                  <w:pPr>
                    <w:jc w:val="center"/>
                  </w:pPr>
                  <w:r>
                    <w:rPr>
                      <w:rFonts w:hint="eastAsia"/>
                    </w:rPr>
                    <w:t>限制车速；保持路面清洁；对道路采取洒水抑尘措施润；物料运输过程加盖篷布；严禁超载；采用国六标准及以上排放标准的重型车或新能源；设置洗车平台</w:t>
                  </w:r>
                </w:p>
              </w:tc>
              <w:tc>
                <w:tcPr>
                  <w:tcW w:w="412" w:type="pct"/>
                  <w:vAlign w:val="center"/>
                </w:tcPr>
                <w:p w14:paraId="6913E92F">
                  <w:pPr>
                    <w:jc w:val="center"/>
                  </w:pPr>
                  <w:r>
                    <w:rPr>
                      <w:rFonts w:hint="eastAsia"/>
                    </w:rPr>
                    <w:t>66%</w:t>
                  </w:r>
                </w:p>
              </w:tc>
              <w:tc>
                <w:tcPr>
                  <w:tcW w:w="494" w:type="pct"/>
                  <w:vAlign w:val="center"/>
                </w:tcPr>
                <w:p w14:paraId="3BE5AEEE">
                  <w:pPr>
                    <w:jc w:val="center"/>
                  </w:pPr>
                  <w:r>
                    <w:rPr>
                      <w:rFonts w:hint="eastAsia"/>
                    </w:rPr>
                    <w:t>/</w:t>
                  </w:r>
                </w:p>
              </w:tc>
              <w:tc>
                <w:tcPr>
                  <w:tcW w:w="479" w:type="pct"/>
                  <w:vAlign w:val="center"/>
                </w:tcPr>
                <w:p w14:paraId="7574A7CA">
                  <w:pPr>
                    <w:jc w:val="center"/>
                  </w:pPr>
                  <w:r>
                    <w:rPr>
                      <w:rFonts w:hint="eastAsia"/>
                    </w:rPr>
                    <w:t>0.05</w:t>
                  </w:r>
                </w:p>
              </w:tc>
              <w:tc>
                <w:tcPr>
                  <w:tcW w:w="487" w:type="pct"/>
                  <w:vAlign w:val="center"/>
                </w:tcPr>
                <w:p w14:paraId="1755ED97">
                  <w:pPr>
                    <w:jc w:val="center"/>
                  </w:pPr>
                  <w:r>
                    <w:rPr>
                      <w:rFonts w:hint="eastAsia"/>
                    </w:rPr>
                    <w:t>/</w:t>
                  </w:r>
                </w:p>
              </w:tc>
              <w:tc>
                <w:tcPr>
                  <w:tcW w:w="494" w:type="pct"/>
                  <w:vAlign w:val="center"/>
                </w:tcPr>
                <w:p w14:paraId="56888169">
                  <w:pPr>
                    <w:jc w:val="center"/>
                  </w:pPr>
                  <w:r>
                    <w:rPr>
                      <w:rFonts w:hint="eastAsia"/>
                    </w:rPr>
                    <w:t>/</w:t>
                  </w:r>
                </w:p>
              </w:tc>
              <w:tc>
                <w:tcPr>
                  <w:tcW w:w="482" w:type="pct"/>
                  <w:vAlign w:val="center"/>
                </w:tcPr>
                <w:p w14:paraId="4DD984E4">
                  <w:pPr>
                    <w:jc w:val="center"/>
                  </w:pPr>
                  <w:r>
                    <w:rPr>
                      <w:rFonts w:hint="eastAsia"/>
                    </w:rPr>
                    <w:t>无组织</w:t>
                  </w:r>
                </w:p>
              </w:tc>
            </w:tr>
            <w:tr w14:paraId="660DA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Merge w:val="restart"/>
                  <w:vAlign w:val="center"/>
                </w:tcPr>
                <w:p w14:paraId="2934BC9A">
                  <w:pPr>
                    <w:jc w:val="center"/>
                  </w:pPr>
                  <w:r>
                    <w:rPr>
                      <w:rFonts w:hint="eastAsia"/>
                    </w:rPr>
                    <w:t>砂库出料</w:t>
                  </w:r>
                </w:p>
              </w:tc>
              <w:tc>
                <w:tcPr>
                  <w:tcW w:w="399" w:type="pct"/>
                  <w:vMerge w:val="continue"/>
                  <w:vAlign w:val="center"/>
                </w:tcPr>
                <w:p w14:paraId="67343AFB">
                  <w:pPr>
                    <w:jc w:val="center"/>
                  </w:pPr>
                </w:p>
              </w:tc>
              <w:tc>
                <w:tcPr>
                  <w:tcW w:w="349" w:type="pct"/>
                  <w:vAlign w:val="center"/>
                </w:tcPr>
                <w:p w14:paraId="59C7A39F">
                  <w:pPr>
                    <w:jc w:val="center"/>
                  </w:pPr>
                  <w:r>
                    <w:rPr>
                      <w:rFonts w:hint="eastAsia"/>
                    </w:rPr>
                    <w:t>1.183</w:t>
                  </w:r>
                </w:p>
              </w:tc>
              <w:tc>
                <w:tcPr>
                  <w:tcW w:w="864" w:type="pct"/>
                  <w:vAlign w:val="center"/>
                </w:tcPr>
                <w:p w14:paraId="5ADCEEF1">
                  <w:pPr>
                    <w:jc w:val="center"/>
                  </w:pPr>
                  <w:r>
                    <w:rPr>
                      <w:rFonts w:hint="eastAsia"/>
                    </w:rPr>
                    <w:t>封闭储库，洒水抑尘</w:t>
                  </w:r>
                </w:p>
              </w:tc>
              <w:tc>
                <w:tcPr>
                  <w:tcW w:w="412" w:type="pct"/>
                  <w:vAlign w:val="center"/>
                </w:tcPr>
                <w:p w14:paraId="68C767C5">
                  <w:pPr>
                    <w:jc w:val="center"/>
                  </w:pPr>
                  <w:r>
                    <w:rPr>
                      <w:rFonts w:hint="eastAsia"/>
                    </w:rPr>
                    <w:t>95%</w:t>
                  </w:r>
                </w:p>
              </w:tc>
              <w:tc>
                <w:tcPr>
                  <w:tcW w:w="494" w:type="pct"/>
                  <w:vAlign w:val="center"/>
                </w:tcPr>
                <w:p w14:paraId="44E4D0B3">
                  <w:pPr>
                    <w:jc w:val="center"/>
                  </w:pPr>
                  <w:r>
                    <w:rPr>
                      <w:rFonts w:hint="eastAsia"/>
                    </w:rPr>
                    <w:t>/</w:t>
                  </w:r>
                </w:p>
              </w:tc>
              <w:tc>
                <w:tcPr>
                  <w:tcW w:w="479" w:type="pct"/>
                  <w:vAlign w:val="center"/>
                </w:tcPr>
                <w:p w14:paraId="19273E98">
                  <w:pPr>
                    <w:jc w:val="center"/>
                  </w:pPr>
                  <w:r>
                    <w:rPr>
                      <w:rFonts w:hint="eastAsia"/>
                    </w:rPr>
                    <w:t>0.06</w:t>
                  </w:r>
                </w:p>
              </w:tc>
              <w:tc>
                <w:tcPr>
                  <w:tcW w:w="487" w:type="pct"/>
                  <w:vAlign w:val="center"/>
                </w:tcPr>
                <w:p w14:paraId="1198FF59">
                  <w:pPr>
                    <w:jc w:val="center"/>
                  </w:pPr>
                  <w:r>
                    <w:rPr>
                      <w:rFonts w:hint="eastAsia"/>
                    </w:rPr>
                    <w:t>/</w:t>
                  </w:r>
                </w:p>
              </w:tc>
              <w:tc>
                <w:tcPr>
                  <w:tcW w:w="494" w:type="pct"/>
                  <w:vAlign w:val="center"/>
                </w:tcPr>
                <w:p w14:paraId="3588C0AA">
                  <w:pPr>
                    <w:jc w:val="center"/>
                  </w:pPr>
                  <w:r>
                    <w:rPr>
                      <w:rFonts w:hint="eastAsia"/>
                    </w:rPr>
                    <w:t>1.0</w:t>
                  </w:r>
                </w:p>
              </w:tc>
              <w:tc>
                <w:tcPr>
                  <w:tcW w:w="482" w:type="pct"/>
                  <w:vAlign w:val="center"/>
                </w:tcPr>
                <w:p w14:paraId="5A541099">
                  <w:pPr>
                    <w:jc w:val="center"/>
                  </w:pPr>
                  <w:r>
                    <w:rPr>
                      <w:rFonts w:hint="eastAsia"/>
                    </w:rPr>
                    <w:t>无组织</w:t>
                  </w:r>
                </w:p>
              </w:tc>
            </w:tr>
            <w:tr w14:paraId="14668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Merge w:val="continue"/>
                  <w:vAlign w:val="center"/>
                </w:tcPr>
                <w:p w14:paraId="35765961">
                  <w:pPr>
                    <w:jc w:val="center"/>
                  </w:pPr>
                </w:p>
              </w:tc>
              <w:tc>
                <w:tcPr>
                  <w:tcW w:w="399" w:type="pct"/>
                  <w:vMerge w:val="restart"/>
                  <w:vAlign w:val="center"/>
                </w:tcPr>
                <w:p w14:paraId="184F9D7B">
                  <w:pPr>
                    <w:jc w:val="center"/>
                  </w:pPr>
                  <w:r>
                    <w:rPr>
                      <w:rFonts w:hint="eastAsia"/>
                    </w:rPr>
                    <w:t>颗粒物</w:t>
                  </w:r>
                </w:p>
              </w:tc>
              <w:tc>
                <w:tcPr>
                  <w:tcW w:w="349" w:type="pct"/>
                  <w:vAlign w:val="center"/>
                </w:tcPr>
                <w:p w14:paraId="415936D9">
                  <w:pPr>
                    <w:jc w:val="center"/>
                  </w:pPr>
                  <w:r>
                    <w:rPr>
                      <w:rFonts w:hint="eastAsia"/>
                    </w:rPr>
                    <w:t>23.66</w:t>
                  </w:r>
                </w:p>
              </w:tc>
              <w:tc>
                <w:tcPr>
                  <w:tcW w:w="864" w:type="pct"/>
                  <w:vAlign w:val="center"/>
                </w:tcPr>
                <w:p w14:paraId="169A0165">
                  <w:pPr>
                    <w:jc w:val="center"/>
                  </w:pPr>
                  <w:r>
                    <w:rPr>
                      <w:rFonts w:hint="eastAsia"/>
                    </w:rPr>
                    <w:t>集尘罩+袋式除尘器处理，集气效率95%</w:t>
                  </w:r>
                </w:p>
              </w:tc>
              <w:tc>
                <w:tcPr>
                  <w:tcW w:w="412" w:type="pct"/>
                  <w:vAlign w:val="center"/>
                </w:tcPr>
                <w:p w14:paraId="2D343C03">
                  <w:pPr>
                    <w:jc w:val="center"/>
                  </w:pPr>
                  <w:r>
                    <w:rPr>
                      <w:rFonts w:hint="eastAsia"/>
                    </w:rPr>
                    <w:t>＞99%</w:t>
                  </w:r>
                </w:p>
              </w:tc>
              <w:tc>
                <w:tcPr>
                  <w:tcW w:w="494" w:type="pct"/>
                  <w:vAlign w:val="center"/>
                </w:tcPr>
                <w:p w14:paraId="47EEFB08">
                  <w:pPr>
                    <w:jc w:val="center"/>
                  </w:pPr>
                  <w:r>
                    <w:rPr>
                      <w:rFonts w:hint="eastAsia"/>
                    </w:rPr>
                    <w:t>10</w:t>
                  </w:r>
                </w:p>
              </w:tc>
              <w:tc>
                <w:tcPr>
                  <w:tcW w:w="479" w:type="pct"/>
                  <w:vAlign w:val="center"/>
                </w:tcPr>
                <w:p w14:paraId="362147BC">
                  <w:pPr>
                    <w:jc w:val="center"/>
                  </w:pPr>
                  <w:r>
                    <w:rPr>
                      <w:rFonts w:hint="eastAsia"/>
                    </w:rPr>
                    <w:t>0.624</w:t>
                  </w:r>
                </w:p>
              </w:tc>
              <w:tc>
                <w:tcPr>
                  <w:tcW w:w="487" w:type="pct"/>
                  <w:vAlign w:val="center"/>
                </w:tcPr>
                <w:p w14:paraId="35C9CB5E">
                  <w:pPr>
                    <w:jc w:val="center"/>
                  </w:pPr>
                  <w:r>
                    <w:rPr>
                      <w:rFonts w:hint="eastAsia"/>
                    </w:rPr>
                    <w:t>0.26</w:t>
                  </w:r>
                </w:p>
              </w:tc>
              <w:tc>
                <w:tcPr>
                  <w:tcW w:w="494" w:type="pct"/>
                  <w:vAlign w:val="center"/>
                </w:tcPr>
                <w:p w14:paraId="198BA759">
                  <w:pPr>
                    <w:jc w:val="center"/>
                  </w:pPr>
                  <w:r>
                    <w:rPr>
                      <w:rFonts w:hint="eastAsia"/>
                    </w:rPr>
                    <w:t>10</w:t>
                  </w:r>
                </w:p>
              </w:tc>
              <w:tc>
                <w:tcPr>
                  <w:tcW w:w="482" w:type="pct"/>
                  <w:vAlign w:val="center"/>
                </w:tcPr>
                <w:p w14:paraId="1D9FBEC7">
                  <w:pPr>
                    <w:jc w:val="center"/>
                  </w:pPr>
                  <w:r>
                    <w:rPr>
                      <w:rFonts w:hint="eastAsia"/>
                    </w:rPr>
                    <w:t>有组织</w:t>
                  </w:r>
                </w:p>
              </w:tc>
            </w:tr>
            <w:tr w14:paraId="25C33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Align w:val="center"/>
                </w:tcPr>
                <w:p w14:paraId="3CBC59DC">
                  <w:pPr>
                    <w:jc w:val="center"/>
                  </w:pPr>
                  <w:r>
                    <w:rPr>
                      <w:rFonts w:hint="eastAsia"/>
                    </w:rPr>
                    <w:t>搅拌主机上料、搅拌</w:t>
                  </w:r>
                </w:p>
              </w:tc>
              <w:tc>
                <w:tcPr>
                  <w:tcW w:w="399" w:type="pct"/>
                  <w:vMerge w:val="continue"/>
                  <w:vAlign w:val="center"/>
                </w:tcPr>
                <w:p w14:paraId="20D0269D">
                  <w:pPr>
                    <w:jc w:val="center"/>
                  </w:pPr>
                </w:p>
              </w:tc>
              <w:tc>
                <w:tcPr>
                  <w:tcW w:w="349" w:type="pct"/>
                  <w:vAlign w:val="center"/>
                </w:tcPr>
                <w:p w14:paraId="6C6618C5">
                  <w:pPr>
                    <w:jc w:val="center"/>
                  </w:pPr>
                  <w:r>
                    <w:rPr>
                      <w:rFonts w:hint="eastAsia"/>
                    </w:rPr>
                    <w:t>26</w:t>
                  </w:r>
                </w:p>
              </w:tc>
              <w:tc>
                <w:tcPr>
                  <w:tcW w:w="864" w:type="pct"/>
                  <w:vAlign w:val="center"/>
                </w:tcPr>
                <w:p w14:paraId="23D11F33">
                  <w:pPr>
                    <w:jc w:val="center"/>
                  </w:pPr>
                  <w:r>
                    <w:rPr>
                      <w:rFonts w:hint="eastAsia"/>
                    </w:rPr>
                    <w:t>袋式除尘器处理，风量8640m</w:t>
                  </w:r>
                  <w:r>
                    <w:rPr>
                      <w:rFonts w:hint="eastAsia"/>
                      <w:vertAlign w:val="superscript"/>
                    </w:rPr>
                    <w:t>3</w:t>
                  </w:r>
                  <w:r>
                    <w:rPr>
                      <w:rFonts w:hint="eastAsia"/>
                    </w:rPr>
                    <w:t>/h</w:t>
                  </w:r>
                </w:p>
              </w:tc>
              <w:tc>
                <w:tcPr>
                  <w:tcW w:w="412" w:type="pct"/>
                  <w:vAlign w:val="center"/>
                </w:tcPr>
                <w:p w14:paraId="28A6B514">
                  <w:pPr>
                    <w:jc w:val="center"/>
                  </w:pPr>
                  <w:r>
                    <w:rPr>
                      <w:rFonts w:hint="eastAsia"/>
                    </w:rPr>
                    <w:t>99.2%</w:t>
                  </w:r>
                </w:p>
              </w:tc>
              <w:tc>
                <w:tcPr>
                  <w:tcW w:w="494" w:type="pct"/>
                  <w:vAlign w:val="center"/>
                </w:tcPr>
                <w:p w14:paraId="1E7D9A08">
                  <w:pPr>
                    <w:jc w:val="center"/>
                  </w:pPr>
                  <w:r>
                    <w:rPr>
                      <w:rFonts w:hint="eastAsia"/>
                    </w:rPr>
                    <w:t>10</w:t>
                  </w:r>
                </w:p>
              </w:tc>
              <w:tc>
                <w:tcPr>
                  <w:tcW w:w="479" w:type="pct"/>
                  <w:vAlign w:val="center"/>
                </w:tcPr>
                <w:p w14:paraId="538AEF9C">
                  <w:pPr>
                    <w:jc w:val="center"/>
                  </w:pPr>
                  <w:r>
                    <w:rPr>
                      <w:rFonts w:hint="eastAsia"/>
                    </w:rPr>
                    <w:t>0.207</w:t>
                  </w:r>
                </w:p>
              </w:tc>
              <w:tc>
                <w:tcPr>
                  <w:tcW w:w="487" w:type="pct"/>
                  <w:vAlign w:val="center"/>
                </w:tcPr>
                <w:p w14:paraId="1417112F">
                  <w:pPr>
                    <w:jc w:val="center"/>
                  </w:pPr>
                  <w:r>
                    <w:rPr>
                      <w:rFonts w:hint="eastAsia"/>
                    </w:rPr>
                    <w:t>0.086</w:t>
                  </w:r>
                </w:p>
              </w:tc>
              <w:tc>
                <w:tcPr>
                  <w:tcW w:w="494" w:type="pct"/>
                  <w:vAlign w:val="center"/>
                </w:tcPr>
                <w:p w14:paraId="53FB05EC">
                  <w:pPr>
                    <w:jc w:val="center"/>
                  </w:pPr>
                  <w:r>
                    <w:rPr>
                      <w:rFonts w:hint="eastAsia"/>
                    </w:rPr>
                    <w:t>10</w:t>
                  </w:r>
                </w:p>
              </w:tc>
              <w:tc>
                <w:tcPr>
                  <w:tcW w:w="482" w:type="pct"/>
                  <w:vAlign w:val="center"/>
                </w:tcPr>
                <w:p w14:paraId="601F245F">
                  <w:pPr>
                    <w:jc w:val="center"/>
                  </w:pPr>
                  <w:r>
                    <w:rPr>
                      <w:rFonts w:hint="eastAsia"/>
                    </w:rPr>
                    <w:t>有组织</w:t>
                  </w:r>
                </w:p>
              </w:tc>
            </w:tr>
            <w:tr w14:paraId="3940B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Align w:val="center"/>
                </w:tcPr>
                <w:p w14:paraId="4C3F44BA">
                  <w:pPr>
                    <w:jc w:val="center"/>
                  </w:pPr>
                  <w:r>
                    <w:rPr>
                      <w:rFonts w:hint="eastAsia"/>
                    </w:rPr>
                    <w:t>包装机</w:t>
                  </w:r>
                </w:p>
              </w:tc>
              <w:tc>
                <w:tcPr>
                  <w:tcW w:w="399" w:type="pct"/>
                  <w:vMerge w:val="continue"/>
                  <w:vAlign w:val="center"/>
                </w:tcPr>
                <w:p w14:paraId="323C79B3">
                  <w:pPr>
                    <w:jc w:val="center"/>
                  </w:pPr>
                </w:p>
              </w:tc>
              <w:tc>
                <w:tcPr>
                  <w:tcW w:w="349" w:type="pct"/>
                  <w:vAlign w:val="center"/>
                </w:tcPr>
                <w:p w14:paraId="5515919B">
                  <w:pPr>
                    <w:jc w:val="center"/>
                  </w:pPr>
                  <w:r>
                    <w:rPr>
                      <w:rFonts w:hint="eastAsia"/>
                    </w:rPr>
                    <w:t>2.4</w:t>
                  </w:r>
                </w:p>
              </w:tc>
              <w:tc>
                <w:tcPr>
                  <w:tcW w:w="864" w:type="pct"/>
                  <w:vAlign w:val="center"/>
                </w:tcPr>
                <w:p w14:paraId="377FCF63">
                  <w:pPr>
                    <w:jc w:val="center"/>
                  </w:pPr>
                  <w:r>
                    <w:rPr>
                      <w:rFonts w:hint="eastAsia"/>
                    </w:rPr>
                    <w:t>袋式除尘器处理，风量10800m</w:t>
                  </w:r>
                  <w:r>
                    <w:rPr>
                      <w:rFonts w:hint="eastAsia"/>
                      <w:vertAlign w:val="superscript"/>
                    </w:rPr>
                    <w:t>3</w:t>
                  </w:r>
                  <w:r>
                    <w:rPr>
                      <w:rFonts w:hint="eastAsia"/>
                    </w:rPr>
                    <w:t>/h</w:t>
                  </w:r>
                </w:p>
              </w:tc>
              <w:tc>
                <w:tcPr>
                  <w:tcW w:w="412" w:type="pct"/>
                  <w:vAlign w:val="center"/>
                </w:tcPr>
                <w:p w14:paraId="3D43C7E8">
                  <w:pPr>
                    <w:jc w:val="center"/>
                  </w:pPr>
                  <w:r>
                    <w:rPr>
                      <w:rFonts w:hint="eastAsia"/>
                    </w:rPr>
                    <w:t>94.6%</w:t>
                  </w:r>
                </w:p>
              </w:tc>
              <w:tc>
                <w:tcPr>
                  <w:tcW w:w="494" w:type="pct"/>
                  <w:vAlign w:val="center"/>
                </w:tcPr>
                <w:p w14:paraId="6C58D8EF">
                  <w:pPr>
                    <w:jc w:val="center"/>
                  </w:pPr>
                  <w:r>
                    <w:rPr>
                      <w:rFonts w:hint="eastAsia"/>
                    </w:rPr>
                    <w:t>10</w:t>
                  </w:r>
                </w:p>
              </w:tc>
              <w:tc>
                <w:tcPr>
                  <w:tcW w:w="479" w:type="pct"/>
                  <w:vAlign w:val="center"/>
                </w:tcPr>
                <w:p w14:paraId="278737DF">
                  <w:pPr>
                    <w:jc w:val="center"/>
                  </w:pPr>
                  <w:r>
                    <w:rPr>
                      <w:rFonts w:hint="eastAsia"/>
                    </w:rPr>
                    <w:t>0.13</w:t>
                  </w:r>
                </w:p>
              </w:tc>
              <w:tc>
                <w:tcPr>
                  <w:tcW w:w="487" w:type="pct"/>
                  <w:vAlign w:val="center"/>
                </w:tcPr>
                <w:p w14:paraId="097720FC">
                  <w:pPr>
                    <w:jc w:val="center"/>
                  </w:pPr>
                  <w:r>
                    <w:rPr>
                      <w:rFonts w:hint="eastAsia"/>
                    </w:rPr>
                    <w:t>0.108</w:t>
                  </w:r>
                </w:p>
              </w:tc>
              <w:tc>
                <w:tcPr>
                  <w:tcW w:w="494" w:type="pct"/>
                  <w:vAlign w:val="center"/>
                </w:tcPr>
                <w:p w14:paraId="3A391526">
                  <w:pPr>
                    <w:jc w:val="center"/>
                  </w:pPr>
                  <w:r>
                    <w:rPr>
                      <w:rFonts w:hint="eastAsia"/>
                    </w:rPr>
                    <w:t>10</w:t>
                  </w:r>
                </w:p>
              </w:tc>
              <w:tc>
                <w:tcPr>
                  <w:tcW w:w="482" w:type="pct"/>
                  <w:vAlign w:val="center"/>
                </w:tcPr>
                <w:p w14:paraId="3AED3616">
                  <w:pPr>
                    <w:jc w:val="center"/>
                  </w:pPr>
                  <w:r>
                    <w:rPr>
                      <w:rFonts w:hint="eastAsia"/>
                    </w:rPr>
                    <w:t>有组织</w:t>
                  </w:r>
                </w:p>
              </w:tc>
            </w:tr>
            <w:tr w14:paraId="104BB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Align w:val="center"/>
                </w:tcPr>
                <w:p w14:paraId="02C589A7">
                  <w:pPr>
                    <w:jc w:val="center"/>
                  </w:pPr>
                  <w:r>
                    <w:rPr>
                      <w:rFonts w:hint="eastAsia"/>
                    </w:rPr>
                    <w:t>主楼散装</w:t>
                  </w:r>
                </w:p>
              </w:tc>
              <w:tc>
                <w:tcPr>
                  <w:tcW w:w="399" w:type="pct"/>
                  <w:vMerge w:val="continue"/>
                  <w:vAlign w:val="center"/>
                </w:tcPr>
                <w:p w14:paraId="6F3E7C5E">
                  <w:pPr>
                    <w:jc w:val="center"/>
                  </w:pPr>
                </w:p>
              </w:tc>
              <w:tc>
                <w:tcPr>
                  <w:tcW w:w="349" w:type="pct"/>
                  <w:vAlign w:val="center"/>
                </w:tcPr>
                <w:p w14:paraId="4B3624E6">
                  <w:pPr>
                    <w:jc w:val="center"/>
                  </w:pPr>
                  <w:r>
                    <w:rPr>
                      <w:rFonts w:hint="eastAsia"/>
                    </w:rPr>
                    <w:t>6.6</w:t>
                  </w:r>
                </w:p>
              </w:tc>
              <w:tc>
                <w:tcPr>
                  <w:tcW w:w="864" w:type="pct"/>
                  <w:vAlign w:val="center"/>
                </w:tcPr>
                <w:p w14:paraId="77327AF8">
                  <w:pPr>
                    <w:jc w:val="center"/>
                  </w:pPr>
                  <w:r>
                    <w:rPr>
                      <w:rFonts w:hint="eastAsia"/>
                    </w:rPr>
                    <w:t>袋式除尘器处理，风量4320m</w:t>
                  </w:r>
                  <w:r>
                    <w:rPr>
                      <w:rFonts w:hint="eastAsia"/>
                      <w:vertAlign w:val="superscript"/>
                    </w:rPr>
                    <w:t>3</w:t>
                  </w:r>
                  <w:r>
                    <w:rPr>
                      <w:rFonts w:hint="eastAsia"/>
                    </w:rPr>
                    <w:t>/h</w:t>
                  </w:r>
                </w:p>
              </w:tc>
              <w:tc>
                <w:tcPr>
                  <w:tcW w:w="412" w:type="pct"/>
                  <w:vAlign w:val="center"/>
                </w:tcPr>
                <w:p w14:paraId="66A4801E">
                  <w:pPr>
                    <w:jc w:val="center"/>
                  </w:pPr>
                  <w:r>
                    <w:rPr>
                      <w:rFonts w:hint="eastAsia"/>
                    </w:rPr>
                    <w:t>99.7%</w:t>
                  </w:r>
                </w:p>
              </w:tc>
              <w:tc>
                <w:tcPr>
                  <w:tcW w:w="494" w:type="pct"/>
                  <w:vAlign w:val="center"/>
                </w:tcPr>
                <w:p w14:paraId="4FD3DAD6">
                  <w:pPr>
                    <w:jc w:val="center"/>
                  </w:pPr>
                  <w:r>
                    <w:rPr>
                      <w:rFonts w:hint="eastAsia"/>
                    </w:rPr>
                    <w:t>10</w:t>
                  </w:r>
                </w:p>
              </w:tc>
              <w:tc>
                <w:tcPr>
                  <w:tcW w:w="479" w:type="pct"/>
                  <w:vAlign w:val="center"/>
                </w:tcPr>
                <w:p w14:paraId="0D7F18B7">
                  <w:pPr>
                    <w:jc w:val="center"/>
                  </w:pPr>
                  <w:r>
                    <w:t>0.0</w:t>
                  </w:r>
                  <w:r>
                    <w:rPr>
                      <w:rFonts w:hint="eastAsia"/>
                    </w:rPr>
                    <w:t>20</w:t>
                  </w:r>
                </w:p>
              </w:tc>
              <w:tc>
                <w:tcPr>
                  <w:tcW w:w="487" w:type="pct"/>
                  <w:vAlign w:val="center"/>
                </w:tcPr>
                <w:p w14:paraId="5FE3D735">
                  <w:pPr>
                    <w:jc w:val="center"/>
                  </w:pPr>
                  <w:r>
                    <w:rPr>
                      <w:rFonts w:hint="eastAsia"/>
                    </w:rPr>
                    <w:t>0.043</w:t>
                  </w:r>
                </w:p>
              </w:tc>
              <w:tc>
                <w:tcPr>
                  <w:tcW w:w="494" w:type="pct"/>
                  <w:vAlign w:val="center"/>
                </w:tcPr>
                <w:p w14:paraId="42C3E4F8">
                  <w:pPr>
                    <w:jc w:val="center"/>
                  </w:pPr>
                  <w:r>
                    <w:rPr>
                      <w:rFonts w:hint="eastAsia"/>
                    </w:rPr>
                    <w:t>10</w:t>
                  </w:r>
                </w:p>
              </w:tc>
              <w:tc>
                <w:tcPr>
                  <w:tcW w:w="482" w:type="pct"/>
                  <w:vAlign w:val="center"/>
                </w:tcPr>
                <w:p w14:paraId="7033DA54">
                  <w:pPr>
                    <w:jc w:val="center"/>
                  </w:pPr>
                  <w:r>
                    <w:rPr>
                      <w:rFonts w:hint="eastAsia"/>
                    </w:rPr>
                    <w:t>有组织</w:t>
                  </w:r>
                </w:p>
              </w:tc>
            </w:tr>
            <w:tr w14:paraId="0EB25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Align w:val="center"/>
                </w:tcPr>
                <w:p w14:paraId="4412C72D">
                  <w:pPr>
                    <w:jc w:val="center"/>
                  </w:pPr>
                  <w:r>
                    <w:rPr>
                      <w:rFonts w:hint="eastAsia"/>
                    </w:rPr>
                    <w:t>成品仓散装</w:t>
                  </w:r>
                </w:p>
              </w:tc>
              <w:tc>
                <w:tcPr>
                  <w:tcW w:w="399" w:type="pct"/>
                  <w:vMerge w:val="continue"/>
                  <w:vAlign w:val="center"/>
                </w:tcPr>
                <w:p w14:paraId="1F6FF180">
                  <w:pPr>
                    <w:jc w:val="center"/>
                  </w:pPr>
                </w:p>
              </w:tc>
              <w:tc>
                <w:tcPr>
                  <w:tcW w:w="349" w:type="pct"/>
                  <w:vAlign w:val="center"/>
                </w:tcPr>
                <w:p w14:paraId="24908169">
                  <w:pPr>
                    <w:jc w:val="center"/>
                  </w:pPr>
                  <w:r>
                    <w:rPr>
                      <w:rFonts w:hint="eastAsia"/>
                    </w:rPr>
                    <w:t>15</w:t>
                  </w:r>
                </w:p>
              </w:tc>
              <w:tc>
                <w:tcPr>
                  <w:tcW w:w="864" w:type="pct"/>
                  <w:vAlign w:val="center"/>
                </w:tcPr>
                <w:p w14:paraId="56C15EAD">
                  <w:pPr>
                    <w:jc w:val="center"/>
                  </w:pPr>
                  <w:r>
                    <w:rPr>
                      <w:rFonts w:hint="eastAsia"/>
                    </w:rPr>
                    <w:t>袋式除尘器处理，风量4320m</w:t>
                  </w:r>
                  <w:r>
                    <w:rPr>
                      <w:rFonts w:hint="eastAsia"/>
                      <w:vertAlign w:val="superscript"/>
                    </w:rPr>
                    <w:t>3</w:t>
                  </w:r>
                  <w:r>
                    <w:rPr>
                      <w:rFonts w:hint="eastAsia"/>
                    </w:rPr>
                    <w:t>/h</w:t>
                  </w:r>
                </w:p>
              </w:tc>
              <w:tc>
                <w:tcPr>
                  <w:tcW w:w="412" w:type="pct"/>
                  <w:vAlign w:val="center"/>
                </w:tcPr>
                <w:p w14:paraId="535A0244">
                  <w:pPr>
                    <w:jc w:val="center"/>
                  </w:pPr>
                  <w:r>
                    <w:rPr>
                      <w:rFonts w:hint="eastAsia"/>
                    </w:rPr>
                    <w:t>99.7%</w:t>
                  </w:r>
                </w:p>
              </w:tc>
              <w:tc>
                <w:tcPr>
                  <w:tcW w:w="494" w:type="pct"/>
                  <w:vAlign w:val="center"/>
                </w:tcPr>
                <w:p w14:paraId="3F15C85D">
                  <w:pPr>
                    <w:jc w:val="center"/>
                  </w:pPr>
                  <w:r>
                    <w:rPr>
                      <w:rFonts w:hint="eastAsia"/>
                    </w:rPr>
                    <w:t>10</w:t>
                  </w:r>
                </w:p>
              </w:tc>
              <w:tc>
                <w:tcPr>
                  <w:tcW w:w="479" w:type="pct"/>
                  <w:vAlign w:val="center"/>
                </w:tcPr>
                <w:p w14:paraId="41B47393">
                  <w:pPr>
                    <w:jc w:val="center"/>
                  </w:pPr>
                  <w:r>
                    <w:rPr>
                      <w:rFonts w:hint="eastAsia"/>
                    </w:rPr>
                    <w:t>0.045</w:t>
                  </w:r>
                </w:p>
              </w:tc>
              <w:tc>
                <w:tcPr>
                  <w:tcW w:w="487" w:type="pct"/>
                  <w:vAlign w:val="center"/>
                </w:tcPr>
                <w:p w14:paraId="42C2956F">
                  <w:pPr>
                    <w:jc w:val="center"/>
                  </w:pPr>
                  <w:r>
                    <w:rPr>
                      <w:rFonts w:hint="eastAsia"/>
                    </w:rPr>
                    <w:t>0.043</w:t>
                  </w:r>
                </w:p>
              </w:tc>
              <w:tc>
                <w:tcPr>
                  <w:tcW w:w="494" w:type="pct"/>
                  <w:vAlign w:val="center"/>
                </w:tcPr>
                <w:p w14:paraId="3DEBA4A8">
                  <w:pPr>
                    <w:jc w:val="center"/>
                  </w:pPr>
                  <w:r>
                    <w:rPr>
                      <w:rFonts w:hint="eastAsia"/>
                    </w:rPr>
                    <w:t>10</w:t>
                  </w:r>
                </w:p>
              </w:tc>
              <w:tc>
                <w:tcPr>
                  <w:tcW w:w="482" w:type="pct"/>
                  <w:vAlign w:val="center"/>
                </w:tcPr>
                <w:p w14:paraId="14189900">
                  <w:pPr>
                    <w:jc w:val="center"/>
                  </w:pPr>
                  <w:r>
                    <w:rPr>
                      <w:rFonts w:hint="eastAsia"/>
                    </w:rPr>
                    <w:t>有组织</w:t>
                  </w:r>
                </w:p>
              </w:tc>
            </w:tr>
            <w:tr w14:paraId="670F0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Align w:val="center"/>
                </w:tcPr>
                <w:p w14:paraId="69FD71B2">
                  <w:pPr>
                    <w:jc w:val="center"/>
                  </w:pPr>
                  <w:r>
                    <w:rPr>
                      <w:rFonts w:hint="eastAsia"/>
                    </w:rPr>
                    <w:t>1#水泥筒仓</w:t>
                  </w:r>
                </w:p>
              </w:tc>
              <w:tc>
                <w:tcPr>
                  <w:tcW w:w="399" w:type="pct"/>
                  <w:vMerge w:val="continue"/>
                  <w:vAlign w:val="center"/>
                </w:tcPr>
                <w:p w14:paraId="3AFFA4E3">
                  <w:pPr>
                    <w:jc w:val="center"/>
                  </w:pPr>
                </w:p>
              </w:tc>
              <w:tc>
                <w:tcPr>
                  <w:tcW w:w="349" w:type="pct"/>
                  <w:vAlign w:val="center"/>
                </w:tcPr>
                <w:p w14:paraId="7C656F87">
                  <w:pPr>
                    <w:jc w:val="center"/>
                  </w:pPr>
                  <w:r>
                    <w:rPr>
                      <w:rFonts w:hint="eastAsia"/>
                    </w:rPr>
                    <w:t>1.4245</w:t>
                  </w:r>
                </w:p>
              </w:tc>
              <w:tc>
                <w:tcPr>
                  <w:tcW w:w="864" w:type="pct"/>
                  <w:vAlign w:val="center"/>
                </w:tcPr>
                <w:p w14:paraId="5A7490CB">
                  <w:pPr>
                    <w:jc w:val="center"/>
                  </w:pPr>
                  <w:r>
                    <w:rPr>
                      <w:rFonts w:hint="eastAsia"/>
                    </w:rPr>
                    <w:t>仓顶呼吸口设置布袋除尘器，风量2100m</w:t>
                  </w:r>
                  <w:r>
                    <w:rPr>
                      <w:rFonts w:hint="eastAsia"/>
                      <w:vertAlign w:val="superscript"/>
                    </w:rPr>
                    <w:t>3</w:t>
                  </w:r>
                  <w:r>
                    <w:rPr>
                      <w:rFonts w:hint="eastAsia"/>
                    </w:rPr>
                    <w:t>/h</w:t>
                  </w:r>
                </w:p>
              </w:tc>
              <w:tc>
                <w:tcPr>
                  <w:tcW w:w="412" w:type="pct"/>
                  <w:vAlign w:val="center"/>
                </w:tcPr>
                <w:p w14:paraId="44E3943D">
                  <w:pPr>
                    <w:jc w:val="center"/>
                  </w:pPr>
                  <w:r>
                    <w:rPr>
                      <w:rFonts w:hint="eastAsia"/>
                    </w:rPr>
                    <w:t>99.7%</w:t>
                  </w:r>
                </w:p>
              </w:tc>
              <w:tc>
                <w:tcPr>
                  <w:tcW w:w="494" w:type="pct"/>
                  <w:vAlign w:val="center"/>
                </w:tcPr>
                <w:p w14:paraId="69BAAF7D">
                  <w:pPr>
                    <w:jc w:val="center"/>
                  </w:pPr>
                  <w:r>
                    <w:rPr>
                      <w:rFonts w:hint="eastAsia"/>
                    </w:rPr>
                    <w:t>10</w:t>
                  </w:r>
                </w:p>
              </w:tc>
              <w:tc>
                <w:tcPr>
                  <w:tcW w:w="479" w:type="pct"/>
                  <w:vAlign w:val="center"/>
                </w:tcPr>
                <w:p w14:paraId="39EB4B9E">
                  <w:pPr>
                    <w:jc w:val="center"/>
                  </w:pPr>
                  <w:r>
                    <w:rPr>
                      <w:rFonts w:hint="eastAsia"/>
                    </w:rPr>
                    <w:t>0.0038</w:t>
                  </w:r>
                </w:p>
              </w:tc>
              <w:tc>
                <w:tcPr>
                  <w:tcW w:w="487" w:type="pct"/>
                  <w:vAlign w:val="center"/>
                </w:tcPr>
                <w:p w14:paraId="12C0B3E2">
                  <w:pPr>
                    <w:jc w:val="center"/>
                  </w:pPr>
                  <w:r>
                    <w:rPr>
                      <w:rFonts w:hint="eastAsia"/>
                    </w:rPr>
                    <w:t>0.021</w:t>
                  </w:r>
                </w:p>
              </w:tc>
              <w:tc>
                <w:tcPr>
                  <w:tcW w:w="494" w:type="pct"/>
                  <w:vAlign w:val="center"/>
                </w:tcPr>
                <w:p w14:paraId="05C1A385">
                  <w:pPr>
                    <w:jc w:val="center"/>
                  </w:pPr>
                  <w:r>
                    <w:rPr>
                      <w:rFonts w:hint="eastAsia"/>
                    </w:rPr>
                    <w:t>10</w:t>
                  </w:r>
                </w:p>
              </w:tc>
              <w:tc>
                <w:tcPr>
                  <w:tcW w:w="482" w:type="pct"/>
                  <w:vAlign w:val="center"/>
                </w:tcPr>
                <w:p w14:paraId="70AAE48E">
                  <w:pPr>
                    <w:jc w:val="center"/>
                  </w:pPr>
                  <w:r>
                    <w:rPr>
                      <w:rFonts w:hint="eastAsia"/>
                    </w:rPr>
                    <w:t>有组织</w:t>
                  </w:r>
                </w:p>
              </w:tc>
            </w:tr>
            <w:tr w14:paraId="2BECB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Align w:val="center"/>
                </w:tcPr>
                <w:p w14:paraId="45AA942B">
                  <w:pPr>
                    <w:jc w:val="center"/>
                  </w:pPr>
                  <w:r>
                    <w:rPr>
                      <w:rFonts w:hint="eastAsia"/>
                    </w:rPr>
                    <w:t>2#水泥筒仓</w:t>
                  </w:r>
                </w:p>
              </w:tc>
              <w:tc>
                <w:tcPr>
                  <w:tcW w:w="399" w:type="pct"/>
                  <w:vMerge w:val="continue"/>
                  <w:vAlign w:val="center"/>
                </w:tcPr>
                <w:p w14:paraId="3C031F45">
                  <w:pPr>
                    <w:jc w:val="center"/>
                  </w:pPr>
                </w:p>
              </w:tc>
              <w:tc>
                <w:tcPr>
                  <w:tcW w:w="349" w:type="pct"/>
                  <w:vAlign w:val="center"/>
                </w:tcPr>
                <w:p w14:paraId="5ED37840">
                  <w:pPr>
                    <w:jc w:val="center"/>
                  </w:pPr>
                  <w:r>
                    <w:rPr>
                      <w:rFonts w:hint="eastAsia"/>
                    </w:rPr>
                    <w:t>1.4245</w:t>
                  </w:r>
                </w:p>
              </w:tc>
              <w:tc>
                <w:tcPr>
                  <w:tcW w:w="864" w:type="pct"/>
                  <w:vAlign w:val="center"/>
                </w:tcPr>
                <w:p w14:paraId="71B91573">
                  <w:pPr>
                    <w:jc w:val="center"/>
                  </w:pPr>
                  <w:r>
                    <w:rPr>
                      <w:rFonts w:hint="eastAsia"/>
                    </w:rPr>
                    <w:t>仓顶呼吸口设置布袋除尘器，风量2100m</w:t>
                  </w:r>
                  <w:r>
                    <w:rPr>
                      <w:rFonts w:hint="eastAsia"/>
                      <w:vertAlign w:val="superscript"/>
                    </w:rPr>
                    <w:t>3</w:t>
                  </w:r>
                  <w:r>
                    <w:rPr>
                      <w:rFonts w:hint="eastAsia"/>
                    </w:rPr>
                    <w:t>/h</w:t>
                  </w:r>
                </w:p>
              </w:tc>
              <w:tc>
                <w:tcPr>
                  <w:tcW w:w="412" w:type="pct"/>
                  <w:vAlign w:val="center"/>
                </w:tcPr>
                <w:p w14:paraId="6478D3B0">
                  <w:pPr>
                    <w:jc w:val="center"/>
                  </w:pPr>
                  <w:r>
                    <w:rPr>
                      <w:rFonts w:hint="eastAsia"/>
                    </w:rPr>
                    <w:t>99.7%</w:t>
                  </w:r>
                </w:p>
              </w:tc>
              <w:tc>
                <w:tcPr>
                  <w:tcW w:w="494" w:type="pct"/>
                  <w:vAlign w:val="center"/>
                </w:tcPr>
                <w:p w14:paraId="0A5DEAF8">
                  <w:pPr>
                    <w:jc w:val="center"/>
                  </w:pPr>
                  <w:r>
                    <w:rPr>
                      <w:rFonts w:hint="eastAsia"/>
                    </w:rPr>
                    <w:t>10</w:t>
                  </w:r>
                </w:p>
              </w:tc>
              <w:tc>
                <w:tcPr>
                  <w:tcW w:w="479" w:type="pct"/>
                  <w:vAlign w:val="center"/>
                </w:tcPr>
                <w:p w14:paraId="500BF260">
                  <w:pPr>
                    <w:jc w:val="center"/>
                  </w:pPr>
                  <w:r>
                    <w:rPr>
                      <w:rFonts w:hint="eastAsia"/>
                    </w:rPr>
                    <w:t>0.0038</w:t>
                  </w:r>
                </w:p>
              </w:tc>
              <w:tc>
                <w:tcPr>
                  <w:tcW w:w="487" w:type="pct"/>
                  <w:vAlign w:val="center"/>
                </w:tcPr>
                <w:p w14:paraId="755E353F">
                  <w:pPr>
                    <w:jc w:val="center"/>
                  </w:pPr>
                  <w:r>
                    <w:rPr>
                      <w:rFonts w:hint="eastAsia"/>
                    </w:rPr>
                    <w:t>0.021</w:t>
                  </w:r>
                </w:p>
              </w:tc>
              <w:tc>
                <w:tcPr>
                  <w:tcW w:w="494" w:type="pct"/>
                  <w:vAlign w:val="center"/>
                </w:tcPr>
                <w:p w14:paraId="3A2DB310">
                  <w:pPr>
                    <w:jc w:val="center"/>
                  </w:pPr>
                  <w:r>
                    <w:rPr>
                      <w:rFonts w:hint="eastAsia"/>
                    </w:rPr>
                    <w:t>10</w:t>
                  </w:r>
                </w:p>
              </w:tc>
              <w:tc>
                <w:tcPr>
                  <w:tcW w:w="482" w:type="pct"/>
                  <w:vAlign w:val="center"/>
                </w:tcPr>
                <w:p w14:paraId="063B4C5A">
                  <w:pPr>
                    <w:jc w:val="center"/>
                  </w:pPr>
                  <w:r>
                    <w:rPr>
                      <w:rFonts w:hint="eastAsia"/>
                    </w:rPr>
                    <w:t>有组织</w:t>
                  </w:r>
                </w:p>
              </w:tc>
            </w:tr>
            <w:tr w14:paraId="0B3E3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Align w:val="center"/>
                </w:tcPr>
                <w:p w14:paraId="3408C0B0">
                  <w:pPr>
                    <w:jc w:val="center"/>
                  </w:pPr>
                  <w:r>
                    <w:rPr>
                      <w:rFonts w:hint="eastAsia"/>
                    </w:rPr>
                    <w:t>粉煤灰筒仓</w:t>
                  </w:r>
                </w:p>
              </w:tc>
              <w:tc>
                <w:tcPr>
                  <w:tcW w:w="399" w:type="pct"/>
                  <w:vMerge w:val="continue"/>
                  <w:vAlign w:val="center"/>
                </w:tcPr>
                <w:p w14:paraId="4ED4E446">
                  <w:pPr>
                    <w:jc w:val="center"/>
                  </w:pPr>
                </w:p>
              </w:tc>
              <w:tc>
                <w:tcPr>
                  <w:tcW w:w="349" w:type="pct"/>
                  <w:vAlign w:val="center"/>
                </w:tcPr>
                <w:p w14:paraId="58461E15">
                  <w:pPr>
                    <w:jc w:val="center"/>
                  </w:pPr>
                  <w:r>
                    <w:rPr>
                      <w:rFonts w:hint="eastAsia"/>
                    </w:rPr>
                    <w:t>1.793</w:t>
                  </w:r>
                </w:p>
              </w:tc>
              <w:tc>
                <w:tcPr>
                  <w:tcW w:w="864" w:type="pct"/>
                  <w:vAlign w:val="center"/>
                </w:tcPr>
                <w:p w14:paraId="14FCDE81">
                  <w:pPr>
                    <w:jc w:val="center"/>
                  </w:pPr>
                  <w:r>
                    <w:rPr>
                      <w:rFonts w:hint="eastAsia"/>
                    </w:rPr>
                    <w:t>仓顶呼吸口设置布袋除尘器，风量2100m</w:t>
                  </w:r>
                  <w:r>
                    <w:rPr>
                      <w:rFonts w:hint="eastAsia"/>
                      <w:vertAlign w:val="superscript"/>
                    </w:rPr>
                    <w:t>3</w:t>
                  </w:r>
                  <w:r>
                    <w:rPr>
                      <w:rFonts w:hint="eastAsia"/>
                    </w:rPr>
                    <w:t>/h</w:t>
                  </w:r>
                </w:p>
              </w:tc>
              <w:tc>
                <w:tcPr>
                  <w:tcW w:w="412" w:type="pct"/>
                  <w:vAlign w:val="center"/>
                </w:tcPr>
                <w:p w14:paraId="43F0AA4B">
                  <w:pPr>
                    <w:jc w:val="center"/>
                  </w:pPr>
                  <w:r>
                    <w:rPr>
                      <w:rFonts w:hint="eastAsia"/>
                    </w:rPr>
                    <w:t>99.7%</w:t>
                  </w:r>
                </w:p>
              </w:tc>
              <w:tc>
                <w:tcPr>
                  <w:tcW w:w="494" w:type="pct"/>
                  <w:vAlign w:val="center"/>
                </w:tcPr>
                <w:p w14:paraId="02C1D844">
                  <w:pPr>
                    <w:jc w:val="center"/>
                  </w:pPr>
                  <w:r>
                    <w:rPr>
                      <w:rFonts w:hint="eastAsia"/>
                    </w:rPr>
                    <w:t>10</w:t>
                  </w:r>
                </w:p>
              </w:tc>
              <w:tc>
                <w:tcPr>
                  <w:tcW w:w="479" w:type="pct"/>
                  <w:vAlign w:val="center"/>
                </w:tcPr>
                <w:p w14:paraId="61925416">
                  <w:pPr>
                    <w:jc w:val="center"/>
                  </w:pPr>
                  <w:r>
                    <w:rPr>
                      <w:rFonts w:hint="eastAsia"/>
                    </w:rPr>
                    <w:t>0.0048</w:t>
                  </w:r>
                </w:p>
              </w:tc>
              <w:tc>
                <w:tcPr>
                  <w:tcW w:w="487" w:type="pct"/>
                  <w:vAlign w:val="center"/>
                </w:tcPr>
                <w:p w14:paraId="45B0B05A">
                  <w:pPr>
                    <w:jc w:val="center"/>
                  </w:pPr>
                  <w:r>
                    <w:rPr>
                      <w:rFonts w:hint="eastAsia"/>
                    </w:rPr>
                    <w:t>0.021</w:t>
                  </w:r>
                </w:p>
              </w:tc>
              <w:tc>
                <w:tcPr>
                  <w:tcW w:w="494" w:type="pct"/>
                  <w:vAlign w:val="center"/>
                </w:tcPr>
                <w:p w14:paraId="266A4DCE">
                  <w:pPr>
                    <w:jc w:val="center"/>
                  </w:pPr>
                  <w:r>
                    <w:rPr>
                      <w:rFonts w:hint="eastAsia"/>
                    </w:rPr>
                    <w:t>10</w:t>
                  </w:r>
                </w:p>
              </w:tc>
              <w:tc>
                <w:tcPr>
                  <w:tcW w:w="482" w:type="pct"/>
                  <w:vAlign w:val="center"/>
                </w:tcPr>
                <w:p w14:paraId="57379AE5">
                  <w:pPr>
                    <w:jc w:val="center"/>
                  </w:pPr>
                  <w:r>
                    <w:rPr>
                      <w:rFonts w:hint="eastAsia"/>
                    </w:rPr>
                    <w:t>有组织</w:t>
                  </w:r>
                </w:p>
              </w:tc>
            </w:tr>
            <w:tr w14:paraId="49384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Align w:val="center"/>
                </w:tcPr>
                <w:p w14:paraId="6C3107F1">
                  <w:pPr>
                    <w:jc w:val="center"/>
                  </w:pPr>
                  <w:r>
                    <w:rPr>
                      <w:rFonts w:hint="eastAsia"/>
                    </w:rPr>
                    <w:t>砂浆入成品仓</w:t>
                  </w:r>
                </w:p>
              </w:tc>
              <w:tc>
                <w:tcPr>
                  <w:tcW w:w="399" w:type="pct"/>
                  <w:vMerge w:val="continue"/>
                  <w:vAlign w:val="center"/>
                </w:tcPr>
                <w:p w14:paraId="300A9E57">
                  <w:pPr>
                    <w:jc w:val="center"/>
                  </w:pPr>
                </w:p>
              </w:tc>
              <w:tc>
                <w:tcPr>
                  <w:tcW w:w="349" w:type="pct"/>
                  <w:vAlign w:val="center"/>
                </w:tcPr>
                <w:p w14:paraId="226937C3">
                  <w:pPr>
                    <w:jc w:val="center"/>
                  </w:pPr>
                  <w:r>
                    <w:rPr>
                      <w:rFonts w:hint="eastAsia"/>
                    </w:rPr>
                    <w:t>15</w:t>
                  </w:r>
                </w:p>
              </w:tc>
              <w:tc>
                <w:tcPr>
                  <w:tcW w:w="864" w:type="pct"/>
                  <w:vAlign w:val="center"/>
                </w:tcPr>
                <w:p w14:paraId="398D0A9C">
                  <w:pPr>
                    <w:jc w:val="center"/>
                  </w:pPr>
                  <w:r>
                    <w:rPr>
                      <w:rFonts w:hint="eastAsia"/>
                    </w:rPr>
                    <w:t>仓顶呼吸口设置布袋除尘器，风量4320m</w:t>
                  </w:r>
                  <w:r>
                    <w:rPr>
                      <w:rFonts w:hint="eastAsia"/>
                      <w:vertAlign w:val="superscript"/>
                    </w:rPr>
                    <w:t>3</w:t>
                  </w:r>
                  <w:r>
                    <w:rPr>
                      <w:rFonts w:hint="eastAsia"/>
                    </w:rPr>
                    <w:t>/h</w:t>
                  </w:r>
                </w:p>
              </w:tc>
              <w:tc>
                <w:tcPr>
                  <w:tcW w:w="412" w:type="pct"/>
                  <w:vAlign w:val="center"/>
                </w:tcPr>
                <w:p w14:paraId="72DCC32F">
                  <w:pPr>
                    <w:jc w:val="center"/>
                  </w:pPr>
                  <w:r>
                    <w:rPr>
                      <w:rFonts w:hint="eastAsia"/>
                    </w:rPr>
                    <w:t>99.7%</w:t>
                  </w:r>
                </w:p>
              </w:tc>
              <w:tc>
                <w:tcPr>
                  <w:tcW w:w="494" w:type="pct"/>
                  <w:vAlign w:val="center"/>
                </w:tcPr>
                <w:p w14:paraId="1A38CAFA">
                  <w:pPr>
                    <w:jc w:val="center"/>
                  </w:pPr>
                  <w:r>
                    <w:rPr>
                      <w:rFonts w:hint="eastAsia"/>
                    </w:rPr>
                    <w:t>10</w:t>
                  </w:r>
                </w:p>
              </w:tc>
              <w:tc>
                <w:tcPr>
                  <w:tcW w:w="479" w:type="pct"/>
                  <w:vAlign w:val="center"/>
                </w:tcPr>
                <w:p w14:paraId="0FCF97B0">
                  <w:pPr>
                    <w:jc w:val="center"/>
                  </w:pPr>
                  <w:r>
                    <w:rPr>
                      <w:rFonts w:hint="eastAsia"/>
                    </w:rPr>
                    <w:t>0.039</w:t>
                  </w:r>
                </w:p>
              </w:tc>
              <w:tc>
                <w:tcPr>
                  <w:tcW w:w="487" w:type="pct"/>
                  <w:vAlign w:val="center"/>
                </w:tcPr>
                <w:p w14:paraId="29FAFDA0">
                  <w:pPr>
                    <w:jc w:val="center"/>
                  </w:pPr>
                  <w:r>
                    <w:rPr>
                      <w:rFonts w:hint="eastAsia"/>
                    </w:rPr>
                    <w:t>0.043</w:t>
                  </w:r>
                </w:p>
              </w:tc>
              <w:tc>
                <w:tcPr>
                  <w:tcW w:w="494" w:type="pct"/>
                  <w:vAlign w:val="center"/>
                </w:tcPr>
                <w:p w14:paraId="1CE0AFEE">
                  <w:pPr>
                    <w:jc w:val="center"/>
                  </w:pPr>
                  <w:r>
                    <w:rPr>
                      <w:rFonts w:hint="eastAsia"/>
                    </w:rPr>
                    <w:t>10</w:t>
                  </w:r>
                </w:p>
              </w:tc>
              <w:tc>
                <w:tcPr>
                  <w:tcW w:w="482" w:type="pct"/>
                  <w:vAlign w:val="center"/>
                </w:tcPr>
                <w:p w14:paraId="72C9F7E7">
                  <w:pPr>
                    <w:jc w:val="center"/>
                  </w:pPr>
                  <w:r>
                    <w:rPr>
                      <w:rFonts w:hint="eastAsia"/>
                    </w:rPr>
                    <w:t>有组织</w:t>
                  </w:r>
                </w:p>
              </w:tc>
            </w:tr>
            <w:tr w14:paraId="03D73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Align w:val="center"/>
                </w:tcPr>
                <w:p w14:paraId="0FE86139">
                  <w:pPr>
                    <w:jc w:val="center"/>
                  </w:pPr>
                  <w:r>
                    <w:rPr>
                      <w:rFonts w:hint="eastAsia"/>
                    </w:rPr>
                    <w:t>有组织污染物合计</w:t>
                  </w:r>
                </w:p>
              </w:tc>
              <w:tc>
                <w:tcPr>
                  <w:tcW w:w="4460" w:type="pct"/>
                  <w:gridSpan w:val="9"/>
                  <w:vAlign w:val="center"/>
                </w:tcPr>
                <w:p w14:paraId="60E67304">
                  <w:pPr>
                    <w:jc w:val="center"/>
                  </w:pPr>
                  <w:r>
                    <w:rPr>
                      <w:rFonts w:hint="eastAsia"/>
                    </w:rPr>
                    <w:t>颗粒物：1.077</w:t>
                  </w:r>
                  <w:r>
                    <w:t>t/a</w:t>
                  </w:r>
                </w:p>
              </w:tc>
            </w:tr>
            <w:tr w14:paraId="0AF31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pct"/>
                  <w:vAlign w:val="center"/>
                </w:tcPr>
                <w:p w14:paraId="72D2E1B1">
                  <w:pPr>
                    <w:jc w:val="center"/>
                  </w:pPr>
                  <w:r>
                    <w:rPr>
                      <w:rFonts w:hint="eastAsia"/>
                    </w:rPr>
                    <w:t>无组织污染物合计</w:t>
                  </w:r>
                </w:p>
              </w:tc>
              <w:tc>
                <w:tcPr>
                  <w:tcW w:w="4460" w:type="pct"/>
                  <w:gridSpan w:val="9"/>
                  <w:vAlign w:val="center"/>
                </w:tcPr>
                <w:p w14:paraId="1F29356B">
                  <w:pPr>
                    <w:jc w:val="center"/>
                  </w:pPr>
                  <w:r>
                    <w:rPr>
                      <w:rFonts w:hint="eastAsia"/>
                    </w:rPr>
                    <w:t>颗粒物：0.185t/a</w:t>
                  </w:r>
                </w:p>
              </w:tc>
            </w:tr>
          </w:tbl>
          <w:p w14:paraId="2A9CE696">
            <w:pPr>
              <w:jc w:val="center"/>
              <w:rPr>
                <w:b/>
                <w:sz w:val="24"/>
              </w:rPr>
            </w:pPr>
          </w:p>
        </w:tc>
      </w:tr>
    </w:tbl>
    <w:p w14:paraId="2E65B26A">
      <w:pPr>
        <w:pStyle w:val="34"/>
        <w:jc w:val="center"/>
        <w:outlineLvl w:val="0"/>
        <w:rPr>
          <w:rFonts w:hint="eastAsia" w:ascii="黑体" w:hAnsi="黑体" w:eastAsia="黑体"/>
          <w:snapToGrid w:val="0"/>
          <w:sz w:val="30"/>
          <w:szCs w:val="30"/>
        </w:rPr>
        <w:sectPr>
          <w:pgSz w:w="16838" w:h="11906" w:orient="landscape"/>
          <w:pgMar w:top="1440" w:right="1440" w:bottom="1440" w:left="1440" w:header="851" w:footer="992" w:gutter="0"/>
          <w:pgNumType w:fmt="numberInDash"/>
          <w:cols w:space="720" w:num="1"/>
          <w:docGrid w:type="lines" w:linePitch="312" w:charSpace="0"/>
        </w:sectPr>
      </w:pP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847"/>
      </w:tblGrid>
      <w:tr w14:paraId="35AD1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89" w:hRule="atLeast"/>
          <w:jc w:val="center"/>
        </w:trPr>
        <w:tc>
          <w:tcPr>
            <w:tcW w:w="675" w:type="dxa"/>
            <w:vAlign w:val="center"/>
          </w:tcPr>
          <w:p w14:paraId="0257E465">
            <w:pPr>
              <w:adjustRightInd w:val="0"/>
              <w:snapToGrid w:val="0"/>
              <w:jc w:val="center"/>
              <w:rPr>
                <w:rFonts w:hint="eastAsia" w:ascii="宋体" w:hAnsi="宋体" w:cs="宋体"/>
                <w:kern w:val="0"/>
                <w:sz w:val="24"/>
              </w:rPr>
            </w:pPr>
          </w:p>
        </w:tc>
        <w:tc>
          <w:tcPr>
            <w:tcW w:w="7847" w:type="dxa"/>
          </w:tcPr>
          <w:p w14:paraId="00E195B7">
            <w:pPr>
              <w:adjustRightInd w:val="0"/>
              <w:snapToGrid w:val="0"/>
              <w:spacing w:line="360" w:lineRule="auto"/>
              <w:rPr>
                <w:b/>
                <w:sz w:val="24"/>
              </w:rPr>
            </w:pPr>
            <w:r>
              <w:rPr>
                <w:b/>
                <w:sz w:val="24"/>
              </w:rPr>
              <w:t>4.2.2 地表水环境影响和</w:t>
            </w:r>
            <w:r>
              <w:rPr>
                <w:rFonts w:hint="eastAsia"/>
                <w:b/>
                <w:sz w:val="24"/>
              </w:rPr>
              <w:t>保护</w:t>
            </w:r>
            <w:r>
              <w:rPr>
                <w:b/>
                <w:sz w:val="24"/>
              </w:rPr>
              <w:t>措施</w:t>
            </w:r>
          </w:p>
          <w:p w14:paraId="69394899">
            <w:pPr>
              <w:spacing w:line="360" w:lineRule="auto"/>
              <w:ind w:firstLine="480" w:firstLineChars="200"/>
              <w:rPr>
                <w:rFonts w:cs="宋体"/>
                <w:kern w:val="0"/>
                <w:sz w:val="24"/>
                <w:szCs w:val="21"/>
              </w:rPr>
            </w:pPr>
            <w:r>
              <w:rPr>
                <w:rFonts w:hint="eastAsia" w:cs="宋体"/>
                <w:kern w:val="0"/>
                <w:sz w:val="24"/>
                <w:szCs w:val="21"/>
              </w:rPr>
              <w:t>1. 地表水环境影响分析</w:t>
            </w:r>
          </w:p>
          <w:p w14:paraId="55A3127B">
            <w:pPr>
              <w:spacing w:line="360" w:lineRule="auto"/>
              <w:ind w:firstLine="480" w:firstLineChars="200"/>
              <w:rPr>
                <w:rFonts w:cs="宋体"/>
                <w:kern w:val="0"/>
                <w:sz w:val="24"/>
                <w:szCs w:val="21"/>
              </w:rPr>
            </w:pPr>
            <w:r>
              <w:rPr>
                <w:rFonts w:hint="eastAsia" w:cs="宋体"/>
                <w:kern w:val="0"/>
                <w:sz w:val="24"/>
                <w:szCs w:val="21"/>
              </w:rPr>
              <w:t>本项目废水产排污情况见表4</w:t>
            </w:r>
            <w:r>
              <w:rPr>
                <w:rFonts w:cs="宋体"/>
                <w:kern w:val="0"/>
                <w:sz w:val="24"/>
                <w:szCs w:val="21"/>
              </w:rPr>
              <w:t>-</w:t>
            </w:r>
            <w:r>
              <w:rPr>
                <w:rFonts w:hint="eastAsia" w:cs="宋体"/>
                <w:kern w:val="0"/>
                <w:sz w:val="24"/>
                <w:szCs w:val="21"/>
              </w:rPr>
              <w:t>6。</w:t>
            </w:r>
          </w:p>
          <w:p w14:paraId="6C08DDE9">
            <w:pPr>
              <w:pStyle w:val="22"/>
              <w:spacing w:after="0" w:line="360" w:lineRule="auto"/>
              <w:ind w:left="0" w:leftChars="0"/>
              <w:jc w:val="center"/>
              <w:rPr>
                <w:b/>
                <w:szCs w:val="21"/>
              </w:rPr>
            </w:pPr>
            <w:r>
              <w:rPr>
                <w:rFonts w:hint="eastAsia"/>
                <w:b/>
                <w:szCs w:val="21"/>
              </w:rPr>
              <w:t>表4</w:t>
            </w:r>
            <w:r>
              <w:rPr>
                <w:b/>
                <w:szCs w:val="21"/>
              </w:rPr>
              <w:t>-</w:t>
            </w:r>
            <w:r>
              <w:rPr>
                <w:rFonts w:hint="eastAsia"/>
                <w:b/>
                <w:szCs w:val="21"/>
              </w:rPr>
              <w:t>6</w:t>
            </w:r>
            <w:r>
              <w:rPr>
                <w:b/>
                <w:szCs w:val="21"/>
              </w:rPr>
              <w:t xml:space="preserve"> </w:t>
            </w:r>
            <w:r>
              <w:rPr>
                <w:rFonts w:hint="eastAsia"/>
                <w:b/>
                <w:szCs w:val="21"/>
              </w:rPr>
              <w:t xml:space="preserve"> 项目废水产排情况表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7"/>
              <w:gridCol w:w="886"/>
              <w:gridCol w:w="1066"/>
              <w:gridCol w:w="982"/>
              <w:gridCol w:w="2656"/>
              <w:gridCol w:w="914"/>
            </w:tblGrid>
            <w:tr w14:paraId="4ABBF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22" w:type="pct"/>
                  <w:vAlign w:val="center"/>
                </w:tcPr>
                <w:p w14:paraId="2B361CB2">
                  <w:pPr>
                    <w:widowControl/>
                    <w:adjustRightInd w:val="0"/>
                    <w:snapToGrid w:val="0"/>
                    <w:jc w:val="center"/>
                    <w:rPr>
                      <w:kern w:val="0"/>
                      <w:szCs w:val="21"/>
                    </w:rPr>
                  </w:pPr>
                  <w:r>
                    <w:rPr>
                      <w:kern w:val="0"/>
                      <w:szCs w:val="21"/>
                    </w:rPr>
                    <w:t>污染源</w:t>
                  </w:r>
                </w:p>
              </w:tc>
              <w:tc>
                <w:tcPr>
                  <w:tcW w:w="583" w:type="pct"/>
                  <w:vAlign w:val="center"/>
                </w:tcPr>
                <w:p w14:paraId="55F7A59D">
                  <w:pPr>
                    <w:widowControl/>
                    <w:adjustRightInd w:val="0"/>
                    <w:snapToGrid w:val="0"/>
                    <w:jc w:val="center"/>
                    <w:rPr>
                      <w:bCs/>
                      <w:kern w:val="0"/>
                      <w:szCs w:val="21"/>
                    </w:rPr>
                  </w:pPr>
                  <w:r>
                    <w:rPr>
                      <w:bCs/>
                      <w:kern w:val="0"/>
                      <w:szCs w:val="21"/>
                    </w:rPr>
                    <w:t>污染物</w:t>
                  </w:r>
                </w:p>
              </w:tc>
              <w:tc>
                <w:tcPr>
                  <w:tcW w:w="701" w:type="pct"/>
                  <w:vAlign w:val="center"/>
                </w:tcPr>
                <w:p w14:paraId="189966C8">
                  <w:pPr>
                    <w:widowControl/>
                    <w:adjustRightInd w:val="0"/>
                    <w:snapToGrid w:val="0"/>
                    <w:jc w:val="center"/>
                    <w:rPr>
                      <w:bCs/>
                      <w:color w:val="000000"/>
                      <w:kern w:val="0"/>
                      <w:szCs w:val="21"/>
                    </w:rPr>
                  </w:pPr>
                  <w:r>
                    <w:rPr>
                      <w:rFonts w:hint="eastAsia"/>
                      <w:bCs/>
                      <w:color w:val="000000"/>
                      <w:kern w:val="0"/>
                      <w:szCs w:val="21"/>
                    </w:rPr>
                    <w:t>产生浓度</w:t>
                  </w:r>
                </w:p>
              </w:tc>
              <w:tc>
                <w:tcPr>
                  <w:tcW w:w="645" w:type="pct"/>
                  <w:vAlign w:val="center"/>
                </w:tcPr>
                <w:p w14:paraId="5008CBF7">
                  <w:pPr>
                    <w:widowControl/>
                    <w:adjustRightInd w:val="0"/>
                    <w:snapToGrid w:val="0"/>
                    <w:jc w:val="center"/>
                    <w:rPr>
                      <w:bCs/>
                      <w:color w:val="000000"/>
                      <w:kern w:val="0"/>
                      <w:szCs w:val="21"/>
                    </w:rPr>
                  </w:pPr>
                  <w:r>
                    <w:rPr>
                      <w:rFonts w:hint="eastAsia"/>
                      <w:bCs/>
                      <w:color w:val="000000"/>
                      <w:kern w:val="0"/>
                      <w:szCs w:val="21"/>
                    </w:rPr>
                    <w:t>产生量</w:t>
                  </w:r>
                </w:p>
              </w:tc>
              <w:tc>
                <w:tcPr>
                  <w:tcW w:w="1747" w:type="pct"/>
                  <w:vAlign w:val="center"/>
                </w:tcPr>
                <w:p w14:paraId="7C859D3E">
                  <w:pPr>
                    <w:widowControl/>
                    <w:adjustRightInd w:val="0"/>
                    <w:snapToGrid w:val="0"/>
                    <w:jc w:val="center"/>
                    <w:rPr>
                      <w:bCs/>
                      <w:color w:val="000000"/>
                      <w:kern w:val="0"/>
                      <w:szCs w:val="21"/>
                    </w:rPr>
                  </w:pPr>
                  <w:r>
                    <w:rPr>
                      <w:bCs/>
                      <w:color w:val="000000"/>
                      <w:kern w:val="0"/>
                      <w:szCs w:val="21"/>
                    </w:rPr>
                    <w:t>采取措施</w:t>
                  </w:r>
                </w:p>
              </w:tc>
              <w:tc>
                <w:tcPr>
                  <w:tcW w:w="602" w:type="pct"/>
                  <w:vAlign w:val="center"/>
                </w:tcPr>
                <w:p w14:paraId="2CEE3D8C">
                  <w:pPr>
                    <w:widowControl/>
                    <w:adjustRightInd w:val="0"/>
                    <w:snapToGrid w:val="0"/>
                    <w:jc w:val="center"/>
                    <w:rPr>
                      <w:bCs/>
                      <w:color w:val="000000"/>
                      <w:kern w:val="0"/>
                      <w:szCs w:val="21"/>
                    </w:rPr>
                  </w:pPr>
                  <w:r>
                    <w:rPr>
                      <w:bCs/>
                      <w:color w:val="000000"/>
                      <w:kern w:val="0"/>
                      <w:szCs w:val="21"/>
                    </w:rPr>
                    <w:t>排放量</w:t>
                  </w:r>
                </w:p>
              </w:tc>
            </w:tr>
            <w:tr w14:paraId="07E81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22" w:type="pct"/>
                  <w:vMerge w:val="restart"/>
                  <w:vAlign w:val="center"/>
                </w:tcPr>
                <w:p w14:paraId="29230C26">
                  <w:pPr>
                    <w:widowControl/>
                    <w:adjustRightInd w:val="0"/>
                    <w:snapToGrid w:val="0"/>
                    <w:jc w:val="center"/>
                    <w:rPr>
                      <w:kern w:val="0"/>
                      <w:szCs w:val="21"/>
                    </w:rPr>
                  </w:pPr>
                  <w:r>
                    <w:rPr>
                      <w:kern w:val="0"/>
                      <w:szCs w:val="21"/>
                    </w:rPr>
                    <w:t>生活污水</w:t>
                  </w:r>
                </w:p>
              </w:tc>
              <w:tc>
                <w:tcPr>
                  <w:tcW w:w="583" w:type="pct"/>
                  <w:vAlign w:val="center"/>
                </w:tcPr>
                <w:p w14:paraId="4095DC1B">
                  <w:pPr>
                    <w:widowControl/>
                    <w:adjustRightInd w:val="0"/>
                    <w:snapToGrid w:val="0"/>
                    <w:jc w:val="center"/>
                    <w:rPr>
                      <w:bCs/>
                      <w:kern w:val="0"/>
                      <w:szCs w:val="21"/>
                    </w:rPr>
                  </w:pPr>
                  <w:r>
                    <w:rPr>
                      <w:bCs/>
                      <w:kern w:val="0"/>
                      <w:szCs w:val="21"/>
                    </w:rPr>
                    <w:t>COD</w:t>
                  </w:r>
                </w:p>
              </w:tc>
              <w:tc>
                <w:tcPr>
                  <w:tcW w:w="701" w:type="pct"/>
                  <w:vAlign w:val="center"/>
                </w:tcPr>
                <w:p w14:paraId="5029CA87">
                  <w:pPr>
                    <w:widowControl/>
                    <w:adjustRightInd w:val="0"/>
                    <w:snapToGrid w:val="0"/>
                    <w:jc w:val="center"/>
                    <w:rPr>
                      <w:bCs/>
                      <w:color w:val="000000"/>
                      <w:kern w:val="0"/>
                      <w:szCs w:val="21"/>
                    </w:rPr>
                  </w:pPr>
                  <w:r>
                    <w:rPr>
                      <w:rFonts w:hint="eastAsia"/>
                      <w:bCs/>
                      <w:color w:val="000000"/>
                      <w:kern w:val="0"/>
                      <w:szCs w:val="21"/>
                    </w:rPr>
                    <w:t>2</w:t>
                  </w:r>
                  <w:r>
                    <w:rPr>
                      <w:bCs/>
                      <w:color w:val="000000"/>
                      <w:kern w:val="0"/>
                      <w:szCs w:val="21"/>
                    </w:rPr>
                    <w:t>80</w:t>
                  </w:r>
                  <w:r>
                    <w:rPr>
                      <w:rFonts w:hint="eastAsia"/>
                      <w:bCs/>
                      <w:color w:val="000000"/>
                      <w:kern w:val="0"/>
                      <w:szCs w:val="21"/>
                    </w:rPr>
                    <w:t>mg</w:t>
                  </w:r>
                  <w:r>
                    <w:rPr>
                      <w:bCs/>
                      <w:color w:val="000000"/>
                      <w:kern w:val="0"/>
                      <w:szCs w:val="21"/>
                    </w:rPr>
                    <w:t>/L</w:t>
                  </w:r>
                </w:p>
              </w:tc>
              <w:tc>
                <w:tcPr>
                  <w:tcW w:w="645" w:type="pct"/>
                  <w:vMerge w:val="restart"/>
                  <w:vAlign w:val="center"/>
                </w:tcPr>
                <w:p w14:paraId="6E4B8B43">
                  <w:pPr>
                    <w:widowControl/>
                    <w:adjustRightInd w:val="0"/>
                    <w:snapToGrid w:val="0"/>
                    <w:jc w:val="center"/>
                    <w:rPr>
                      <w:bCs/>
                      <w:color w:val="000000"/>
                      <w:kern w:val="0"/>
                      <w:szCs w:val="21"/>
                    </w:rPr>
                  </w:pPr>
                  <w:r>
                    <w:rPr>
                      <w:rFonts w:hint="eastAsia"/>
                      <w:bCs/>
                      <w:color w:val="000000"/>
                      <w:kern w:val="0"/>
                      <w:szCs w:val="21"/>
                    </w:rPr>
                    <w:t>0.56m</w:t>
                  </w:r>
                  <w:r>
                    <w:rPr>
                      <w:bCs/>
                      <w:color w:val="000000"/>
                      <w:kern w:val="0"/>
                      <w:szCs w:val="21"/>
                      <w:vertAlign w:val="superscript"/>
                    </w:rPr>
                    <w:t>3</w:t>
                  </w:r>
                  <w:r>
                    <w:rPr>
                      <w:bCs/>
                      <w:color w:val="000000"/>
                      <w:kern w:val="0"/>
                      <w:szCs w:val="21"/>
                    </w:rPr>
                    <w:t>/</w:t>
                  </w:r>
                  <w:r>
                    <w:rPr>
                      <w:rFonts w:hint="eastAsia"/>
                      <w:bCs/>
                      <w:color w:val="000000"/>
                      <w:kern w:val="0"/>
                      <w:szCs w:val="21"/>
                    </w:rPr>
                    <w:t>d</w:t>
                  </w:r>
                </w:p>
              </w:tc>
              <w:tc>
                <w:tcPr>
                  <w:tcW w:w="1747" w:type="pct"/>
                  <w:vMerge w:val="restart"/>
                  <w:vAlign w:val="center"/>
                </w:tcPr>
                <w:p w14:paraId="632A6A98">
                  <w:pPr>
                    <w:widowControl/>
                    <w:adjustRightInd w:val="0"/>
                    <w:snapToGrid w:val="0"/>
                    <w:jc w:val="center"/>
                    <w:rPr>
                      <w:bCs/>
                      <w:color w:val="000000"/>
                      <w:kern w:val="0"/>
                      <w:szCs w:val="21"/>
                    </w:rPr>
                  </w:pPr>
                  <w:r>
                    <w:rPr>
                      <w:bCs/>
                      <w:color w:val="000000"/>
                      <w:kern w:val="0"/>
                      <w:szCs w:val="21"/>
                    </w:rPr>
                    <w:t>厂区建设</w:t>
                  </w:r>
                  <w:r>
                    <w:rPr>
                      <w:rFonts w:hint="eastAsia"/>
                      <w:bCs/>
                      <w:color w:val="000000"/>
                      <w:kern w:val="0"/>
                      <w:szCs w:val="21"/>
                    </w:rPr>
                    <w:t>化粪池</w:t>
                  </w:r>
                  <w:r>
                    <w:rPr>
                      <w:bCs/>
                      <w:color w:val="000000"/>
                      <w:kern w:val="0"/>
                      <w:szCs w:val="21"/>
                    </w:rPr>
                    <w:t>，定期清掏</w:t>
                  </w:r>
                </w:p>
              </w:tc>
              <w:tc>
                <w:tcPr>
                  <w:tcW w:w="602" w:type="pct"/>
                  <w:vMerge w:val="restart"/>
                  <w:vAlign w:val="center"/>
                </w:tcPr>
                <w:p w14:paraId="6D4840BA">
                  <w:pPr>
                    <w:widowControl/>
                    <w:adjustRightInd w:val="0"/>
                    <w:snapToGrid w:val="0"/>
                    <w:jc w:val="center"/>
                    <w:rPr>
                      <w:bCs/>
                      <w:color w:val="000000"/>
                      <w:kern w:val="0"/>
                      <w:szCs w:val="21"/>
                    </w:rPr>
                  </w:pPr>
                  <w:r>
                    <w:rPr>
                      <w:bCs/>
                      <w:color w:val="000000"/>
                      <w:kern w:val="0"/>
                      <w:szCs w:val="21"/>
                    </w:rPr>
                    <w:t>0</w:t>
                  </w:r>
                </w:p>
              </w:tc>
            </w:tr>
            <w:tr w14:paraId="3A531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22" w:type="pct"/>
                  <w:vMerge w:val="continue"/>
                  <w:vAlign w:val="center"/>
                </w:tcPr>
                <w:p w14:paraId="6D76F380">
                  <w:pPr>
                    <w:widowControl/>
                    <w:adjustRightInd w:val="0"/>
                    <w:snapToGrid w:val="0"/>
                    <w:jc w:val="center"/>
                    <w:rPr>
                      <w:kern w:val="0"/>
                      <w:szCs w:val="21"/>
                    </w:rPr>
                  </w:pPr>
                </w:p>
              </w:tc>
              <w:tc>
                <w:tcPr>
                  <w:tcW w:w="583" w:type="pct"/>
                  <w:vAlign w:val="center"/>
                </w:tcPr>
                <w:p w14:paraId="076872EF">
                  <w:pPr>
                    <w:widowControl/>
                    <w:adjustRightInd w:val="0"/>
                    <w:snapToGrid w:val="0"/>
                    <w:jc w:val="center"/>
                    <w:rPr>
                      <w:bCs/>
                      <w:kern w:val="0"/>
                      <w:szCs w:val="21"/>
                    </w:rPr>
                  </w:pPr>
                  <w:r>
                    <w:rPr>
                      <w:rFonts w:hint="eastAsia"/>
                      <w:bCs/>
                      <w:kern w:val="0"/>
                      <w:szCs w:val="21"/>
                    </w:rPr>
                    <w:t>N</w:t>
                  </w:r>
                  <w:r>
                    <w:rPr>
                      <w:bCs/>
                      <w:kern w:val="0"/>
                      <w:szCs w:val="21"/>
                    </w:rPr>
                    <w:t>H</w:t>
                  </w:r>
                  <w:r>
                    <w:rPr>
                      <w:bCs/>
                      <w:kern w:val="0"/>
                      <w:szCs w:val="21"/>
                      <w:vertAlign w:val="subscript"/>
                    </w:rPr>
                    <w:t>3</w:t>
                  </w:r>
                  <w:r>
                    <w:rPr>
                      <w:bCs/>
                      <w:kern w:val="0"/>
                      <w:szCs w:val="21"/>
                    </w:rPr>
                    <w:t>-N</w:t>
                  </w:r>
                </w:p>
              </w:tc>
              <w:tc>
                <w:tcPr>
                  <w:tcW w:w="701" w:type="pct"/>
                  <w:vAlign w:val="center"/>
                </w:tcPr>
                <w:p w14:paraId="4D0DF0FF">
                  <w:pPr>
                    <w:widowControl/>
                    <w:adjustRightInd w:val="0"/>
                    <w:snapToGrid w:val="0"/>
                    <w:jc w:val="center"/>
                    <w:rPr>
                      <w:bCs/>
                      <w:color w:val="000000"/>
                      <w:kern w:val="0"/>
                      <w:szCs w:val="21"/>
                    </w:rPr>
                  </w:pPr>
                  <w:r>
                    <w:rPr>
                      <w:rFonts w:hint="eastAsia"/>
                      <w:bCs/>
                      <w:color w:val="000000"/>
                      <w:kern w:val="0"/>
                      <w:szCs w:val="21"/>
                    </w:rPr>
                    <w:t>2</w:t>
                  </w:r>
                  <w:r>
                    <w:rPr>
                      <w:bCs/>
                      <w:color w:val="000000"/>
                      <w:kern w:val="0"/>
                      <w:szCs w:val="21"/>
                    </w:rPr>
                    <w:t>5</w:t>
                  </w:r>
                  <w:r>
                    <w:rPr>
                      <w:rFonts w:hint="eastAsia"/>
                      <w:bCs/>
                      <w:color w:val="000000"/>
                      <w:kern w:val="0"/>
                      <w:szCs w:val="21"/>
                    </w:rPr>
                    <w:t>mg</w:t>
                  </w:r>
                  <w:r>
                    <w:rPr>
                      <w:bCs/>
                      <w:color w:val="000000"/>
                      <w:kern w:val="0"/>
                      <w:szCs w:val="21"/>
                    </w:rPr>
                    <w:t>/L</w:t>
                  </w:r>
                </w:p>
              </w:tc>
              <w:tc>
                <w:tcPr>
                  <w:tcW w:w="645" w:type="pct"/>
                  <w:vMerge w:val="continue"/>
                  <w:vAlign w:val="center"/>
                </w:tcPr>
                <w:p w14:paraId="2AE34CFE">
                  <w:pPr>
                    <w:widowControl/>
                    <w:adjustRightInd w:val="0"/>
                    <w:snapToGrid w:val="0"/>
                    <w:jc w:val="center"/>
                    <w:rPr>
                      <w:bCs/>
                      <w:color w:val="000000"/>
                      <w:kern w:val="0"/>
                      <w:szCs w:val="21"/>
                    </w:rPr>
                  </w:pPr>
                </w:p>
              </w:tc>
              <w:tc>
                <w:tcPr>
                  <w:tcW w:w="1747" w:type="pct"/>
                  <w:vMerge w:val="continue"/>
                  <w:vAlign w:val="center"/>
                </w:tcPr>
                <w:p w14:paraId="6D0D6464">
                  <w:pPr>
                    <w:widowControl/>
                    <w:adjustRightInd w:val="0"/>
                    <w:snapToGrid w:val="0"/>
                    <w:jc w:val="center"/>
                    <w:rPr>
                      <w:bCs/>
                      <w:color w:val="000000"/>
                      <w:kern w:val="0"/>
                      <w:szCs w:val="21"/>
                    </w:rPr>
                  </w:pPr>
                </w:p>
              </w:tc>
              <w:tc>
                <w:tcPr>
                  <w:tcW w:w="602" w:type="pct"/>
                  <w:vMerge w:val="continue"/>
                  <w:vAlign w:val="center"/>
                </w:tcPr>
                <w:p w14:paraId="35D15268">
                  <w:pPr>
                    <w:widowControl/>
                    <w:adjustRightInd w:val="0"/>
                    <w:snapToGrid w:val="0"/>
                    <w:jc w:val="center"/>
                    <w:rPr>
                      <w:bCs/>
                      <w:color w:val="000000"/>
                      <w:kern w:val="0"/>
                      <w:szCs w:val="21"/>
                    </w:rPr>
                  </w:pPr>
                </w:p>
              </w:tc>
            </w:tr>
            <w:tr w14:paraId="3E6E1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22" w:type="pct"/>
                  <w:vMerge w:val="continue"/>
                  <w:vAlign w:val="center"/>
                </w:tcPr>
                <w:p w14:paraId="21F986EC">
                  <w:pPr>
                    <w:widowControl/>
                    <w:adjustRightInd w:val="0"/>
                    <w:snapToGrid w:val="0"/>
                    <w:jc w:val="center"/>
                    <w:rPr>
                      <w:kern w:val="0"/>
                      <w:szCs w:val="21"/>
                    </w:rPr>
                  </w:pPr>
                </w:p>
              </w:tc>
              <w:tc>
                <w:tcPr>
                  <w:tcW w:w="583" w:type="pct"/>
                  <w:vAlign w:val="center"/>
                </w:tcPr>
                <w:p w14:paraId="7CB9E352">
                  <w:pPr>
                    <w:widowControl/>
                    <w:adjustRightInd w:val="0"/>
                    <w:snapToGrid w:val="0"/>
                    <w:jc w:val="center"/>
                    <w:rPr>
                      <w:bCs/>
                      <w:kern w:val="0"/>
                      <w:szCs w:val="21"/>
                    </w:rPr>
                  </w:pPr>
                  <w:r>
                    <w:rPr>
                      <w:bCs/>
                      <w:kern w:val="0"/>
                      <w:szCs w:val="21"/>
                    </w:rPr>
                    <w:t>BOD</w:t>
                  </w:r>
                  <w:r>
                    <w:rPr>
                      <w:bCs/>
                      <w:kern w:val="0"/>
                      <w:szCs w:val="21"/>
                      <w:vertAlign w:val="subscript"/>
                    </w:rPr>
                    <w:t>5</w:t>
                  </w:r>
                </w:p>
              </w:tc>
              <w:tc>
                <w:tcPr>
                  <w:tcW w:w="701" w:type="pct"/>
                  <w:vAlign w:val="center"/>
                </w:tcPr>
                <w:p w14:paraId="0252CDF5">
                  <w:pPr>
                    <w:widowControl/>
                    <w:adjustRightInd w:val="0"/>
                    <w:snapToGrid w:val="0"/>
                    <w:jc w:val="center"/>
                    <w:rPr>
                      <w:bCs/>
                      <w:color w:val="000000"/>
                      <w:kern w:val="0"/>
                      <w:szCs w:val="21"/>
                    </w:rPr>
                  </w:pPr>
                  <w:r>
                    <w:rPr>
                      <w:bCs/>
                      <w:color w:val="000000"/>
                      <w:kern w:val="0"/>
                      <w:szCs w:val="21"/>
                    </w:rPr>
                    <w:t>160</w:t>
                  </w:r>
                  <w:r>
                    <w:rPr>
                      <w:rFonts w:hint="eastAsia"/>
                      <w:bCs/>
                      <w:color w:val="000000"/>
                      <w:kern w:val="0"/>
                      <w:szCs w:val="21"/>
                    </w:rPr>
                    <w:t>mg</w:t>
                  </w:r>
                  <w:r>
                    <w:rPr>
                      <w:bCs/>
                      <w:color w:val="000000"/>
                      <w:kern w:val="0"/>
                      <w:szCs w:val="21"/>
                    </w:rPr>
                    <w:t>/L</w:t>
                  </w:r>
                </w:p>
              </w:tc>
              <w:tc>
                <w:tcPr>
                  <w:tcW w:w="645" w:type="pct"/>
                  <w:vMerge w:val="continue"/>
                  <w:vAlign w:val="center"/>
                </w:tcPr>
                <w:p w14:paraId="3DB3EB93">
                  <w:pPr>
                    <w:widowControl/>
                    <w:adjustRightInd w:val="0"/>
                    <w:snapToGrid w:val="0"/>
                    <w:jc w:val="center"/>
                    <w:rPr>
                      <w:bCs/>
                      <w:color w:val="000000"/>
                      <w:kern w:val="0"/>
                      <w:szCs w:val="21"/>
                    </w:rPr>
                  </w:pPr>
                </w:p>
              </w:tc>
              <w:tc>
                <w:tcPr>
                  <w:tcW w:w="1747" w:type="pct"/>
                  <w:vMerge w:val="continue"/>
                  <w:vAlign w:val="center"/>
                </w:tcPr>
                <w:p w14:paraId="3A612964">
                  <w:pPr>
                    <w:widowControl/>
                    <w:adjustRightInd w:val="0"/>
                    <w:snapToGrid w:val="0"/>
                    <w:jc w:val="center"/>
                    <w:rPr>
                      <w:bCs/>
                      <w:color w:val="000000"/>
                      <w:kern w:val="0"/>
                      <w:szCs w:val="21"/>
                    </w:rPr>
                  </w:pPr>
                </w:p>
              </w:tc>
              <w:tc>
                <w:tcPr>
                  <w:tcW w:w="602" w:type="pct"/>
                  <w:vMerge w:val="continue"/>
                  <w:vAlign w:val="center"/>
                </w:tcPr>
                <w:p w14:paraId="3C7DBAA5">
                  <w:pPr>
                    <w:widowControl/>
                    <w:adjustRightInd w:val="0"/>
                    <w:snapToGrid w:val="0"/>
                    <w:jc w:val="center"/>
                    <w:rPr>
                      <w:bCs/>
                      <w:color w:val="000000"/>
                      <w:kern w:val="0"/>
                      <w:szCs w:val="21"/>
                    </w:rPr>
                  </w:pPr>
                </w:p>
              </w:tc>
            </w:tr>
            <w:tr w14:paraId="19B8E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22" w:type="pct"/>
                  <w:vMerge w:val="continue"/>
                  <w:vAlign w:val="center"/>
                </w:tcPr>
                <w:p w14:paraId="1FE35B67">
                  <w:pPr>
                    <w:widowControl/>
                    <w:adjustRightInd w:val="0"/>
                    <w:snapToGrid w:val="0"/>
                    <w:jc w:val="center"/>
                    <w:rPr>
                      <w:kern w:val="0"/>
                      <w:szCs w:val="21"/>
                    </w:rPr>
                  </w:pPr>
                </w:p>
              </w:tc>
              <w:tc>
                <w:tcPr>
                  <w:tcW w:w="583" w:type="pct"/>
                  <w:vAlign w:val="center"/>
                </w:tcPr>
                <w:p w14:paraId="70364A05">
                  <w:pPr>
                    <w:widowControl/>
                    <w:adjustRightInd w:val="0"/>
                    <w:snapToGrid w:val="0"/>
                    <w:jc w:val="center"/>
                    <w:rPr>
                      <w:bCs/>
                      <w:kern w:val="0"/>
                      <w:szCs w:val="21"/>
                    </w:rPr>
                  </w:pPr>
                  <w:r>
                    <w:rPr>
                      <w:rFonts w:hint="eastAsia"/>
                      <w:bCs/>
                      <w:kern w:val="0"/>
                      <w:szCs w:val="21"/>
                    </w:rPr>
                    <w:t>T</w:t>
                  </w:r>
                  <w:r>
                    <w:rPr>
                      <w:bCs/>
                      <w:kern w:val="0"/>
                      <w:szCs w:val="21"/>
                    </w:rPr>
                    <w:t>P</w:t>
                  </w:r>
                </w:p>
              </w:tc>
              <w:tc>
                <w:tcPr>
                  <w:tcW w:w="701" w:type="pct"/>
                  <w:vAlign w:val="center"/>
                </w:tcPr>
                <w:p w14:paraId="6DC28638">
                  <w:pPr>
                    <w:widowControl/>
                    <w:adjustRightInd w:val="0"/>
                    <w:snapToGrid w:val="0"/>
                    <w:jc w:val="center"/>
                    <w:rPr>
                      <w:bCs/>
                      <w:color w:val="000000"/>
                      <w:kern w:val="0"/>
                      <w:szCs w:val="21"/>
                    </w:rPr>
                  </w:pPr>
                  <w:r>
                    <w:rPr>
                      <w:rFonts w:hint="eastAsia"/>
                      <w:bCs/>
                      <w:color w:val="000000"/>
                      <w:kern w:val="0"/>
                      <w:szCs w:val="21"/>
                    </w:rPr>
                    <w:t>2</w:t>
                  </w:r>
                  <w:r>
                    <w:rPr>
                      <w:bCs/>
                      <w:color w:val="000000"/>
                      <w:kern w:val="0"/>
                      <w:szCs w:val="21"/>
                    </w:rPr>
                    <w:t>.5</w:t>
                  </w:r>
                  <w:r>
                    <w:rPr>
                      <w:rFonts w:hint="eastAsia"/>
                      <w:bCs/>
                      <w:color w:val="000000"/>
                      <w:kern w:val="0"/>
                      <w:szCs w:val="21"/>
                    </w:rPr>
                    <w:t>mg</w:t>
                  </w:r>
                  <w:r>
                    <w:rPr>
                      <w:bCs/>
                      <w:color w:val="000000"/>
                      <w:kern w:val="0"/>
                      <w:szCs w:val="21"/>
                    </w:rPr>
                    <w:t>/L</w:t>
                  </w:r>
                </w:p>
              </w:tc>
              <w:tc>
                <w:tcPr>
                  <w:tcW w:w="645" w:type="pct"/>
                  <w:vMerge w:val="continue"/>
                  <w:vAlign w:val="center"/>
                </w:tcPr>
                <w:p w14:paraId="5AA3FB78">
                  <w:pPr>
                    <w:widowControl/>
                    <w:adjustRightInd w:val="0"/>
                    <w:snapToGrid w:val="0"/>
                    <w:jc w:val="center"/>
                    <w:rPr>
                      <w:bCs/>
                      <w:color w:val="000000"/>
                      <w:kern w:val="0"/>
                      <w:szCs w:val="21"/>
                    </w:rPr>
                  </w:pPr>
                </w:p>
              </w:tc>
              <w:tc>
                <w:tcPr>
                  <w:tcW w:w="1747" w:type="pct"/>
                  <w:vMerge w:val="continue"/>
                  <w:vAlign w:val="center"/>
                </w:tcPr>
                <w:p w14:paraId="5FF2FE70">
                  <w:pPr>
                    <w:widowControl/>
                    <w:adjustRightInd w:val="0"/>
                    <w:snapToGrid w:val="0"/>
                    <w:jc w:val="center"/>
                    <w:rPr>
                      <w:bCs/>
                      <w:color w:val="000000"/>
                      <w:kern w:val="0"/>
                      <w:szCs w:val="21"/>
                    </w:rPr>
                  </w:pPr>
                </w:p>
              </w:tc>
              <w:tc>
                <w:tcPr>
                  <w:tcW w:w="602" w:type="pct"/>
                  <w:vMerge w:val="continue"/>
                  <w:vAlign w:val="center"/>
                </w:tcPr>
                <w:p w14:paraId="0817F259">
                  <w:pPr>
                    <w:widowControl/>
                    <w:adjustRightInd w:val="0"/>
                    <w:snapToGrid w:val="0"/>
                    <w:jc w:val="center"/>
                    <w:rPr>
                      <w:bCs/>
                      <w:color w:val="000000"/>
                      <w:kern w:val="0"/>
                      <w:szCs w:val="21"/>
                    </w:rPr>
                  </w:pPr>
                </w:p>
              </w:tc>
            </w:tr>
            <w:tr w14:paraId="302D6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22" w:type="pct"/>
                  <w:vAlign w:val="center"/>
                </w:tcPr>
                <w:p w14:paraId="6506F98B">
                  <w:pPr>
                    <w:widowControl/>
                    <w:adjustRightInd w:val="0"/>
                    <w:snapToGrid w:val="0"/>
                    <w:jc w:val="center"/>
                    <w:rPr>
                      <w:kern w:val="0"/>
                      <w:szCs w:val="21"/>
                    </w:rPr>
                  </w:pPr>
                  <w:r>
                    <w:rPr>
                      <w:rFonts w:hint="eastAsia"/>
                      <w:kern w:val="0"/>
                      <w:szCs w:val="21"/>
                    </w:rPr>
                    <w:t>洗车废水</w:t>
                  </w:r>
                </w:p>
              </w:tc>
              <w:tc>
                <w:tcPr>
                  <w:tcW w:w="583" w:type="pct"/>
                  <w:vAlign w:val="center"/>
                </w:tcPr>
                <w:p w14:paraId="57A048CC">
                  <w:pPr>
                    <w:widowControl/>
                    <w:adjustRightInd w:val="0"/>
                    <w:snapToGrid w:val="0"/>
                    <w:jc w:val="center"/>
                    <w:rPr>
                      <w:bCs/>
                      <w:kern w:val="0"/>
                      <w:szCs w:val="21"/>
                    </w:rPr>
                  </w:pPr>
                  <w:r>
                    <w:rPr>
                      <w:bCs/>
                      <w:kern w:val="0"/>
                      <w:szCs w:val="21"/>
                    </w:rPr>
                    <w:t>SS</w:t>
                  </w:r>
                </w:p>
              </w:tc>
              <w:tc>
                <w:tcPr>
                  <w:tcW w:w="1347" w:type="pct"/>
                  <w:gridSpan w:val="2"/>
                  <w:vAlign w:val="center"/>
                </w:tcPr>
                <w:p w14:paraId="3B15AB40">
                  <w:pPr>
                    <w:widowControl/>
                    <w:adjustRightInd w:val="0"/>
                    <w:snapToGrid w:val="0"/>
                    <w:jc w:val="center"/>
                    <w:rPr>
                      <w:kern w:val="0"/>
                      <w:szCs w:val="21"/>
                    </w:rPr>
                  </w:pPr>
                  <w:r>
                    <w:rPr>
                      <w:rFonts w:hint="eastAsia"/>
                      <w:kern w:val="0"/>
                      <w:szCs w:val="21"/>
                    </w:rPr>
                    <w:t>/</w:t>
                  </w:r>
                </w:p>
              </w:tc>
              <w:tc>
                <w:tcPr>
                  <w:tcW w:w="1747" w:type="pct"/>
                  <w:vAlign w:val="center"/>
                </w:tcPr>
                <w:p w14:paraId="49579ABB">
                  <w:pPr>
                    <w:widowControl/>
                    <w:adjustRightInd w:val="0"/>
                    <w:snapToGrid w:val="0"/>
                    <w:jc w:val="center"/>
                    <w:rPr>
                      <w:bCs/>
                      <w:kern w:val="0"/>
                      <w:szCs w:val="21"/>
                    </w:rPr>
                  </w:pPr>
                  <w:r>
                    <w:rPr>
                      <w:rFonts w:hint="eastAsia"/>
                      <w:bCs/>
                      <w:kern w:val="0"/>
                      <w:szCs w:val="21"/>
                    </w:rPr>
                    <w:t>经沉淀池沉淀后回用</w:t>
                  </w:r>
                </w:p>
              </w:tc>
              <w:tc>
                <w:tcPr>
                  <w:tcW w:w="602" w:type="pct"/>
                  <w:vAlign w:val="center"/>
                </w:tcPr>
                <w:p w14:paraId="40D7C1AA">
                  <w:pPr>
                    <w:widowControl/>
                    <w:adjustRightInd w:val="0"/>
                    <w:snapToGrid w:val="0"/>
                    <w:jc w:val="center"/>
                    <w:rPr>
                      <w:bCs/>
                      <w:kern w:val="0"/>
                      <w:szCs w:val="21"/>
                    </w:rPr>
                  </w:pPr>
                  <w:r>
                    <w:rPr>
                      <w:bCs/>
                      <w:kern w:val="0"/>
                      <w:szCs w:val="21"/>
                    </w:rPr>
                    <w:t>0</w:t>
                  </w:r>
                </w:p>
              </w:tc>
            </w:tr>
            <w:tr w14:paraId="54364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22" w:type="pct"/>
                  <w:vAlign w:val="center"/>
                </w:tcPr>
                <w:p w14:paraId="58BE80D7">
                  <w:pPr>
                    <w:widowControl/>
                    <w:adjustRightInd w:val="0"/>
                    <w:snapToGrid w:val="0"/>
                    <w:jc w:val="center"/>
                    <w:rPr>
                      <w:kern w:val="0"/>
                      <w:szCs w:val="21"/>
                    </w:rPr>
                  </w:pPr>
                  <w:r>
                    <w:rPr>
                      <w:kern w:val="0"/>
                      <w:szCs w:val="21"/>
                    </w:rPr>
                    <w:t>初期雨水</w:t>
                  </w:r>
                </w:p>
              </w:tc>
              <w:tc>
                <w:tcPr>
                  <w:tcW w:w="583" w:type="pct"/>
                  <w:vAlign w:val="center"/>
                </w:tcPr>
                <w:p w14:paraId="1F61A8E0">
                  <w:pPr>
                    <w:widowControl/>
                    <w:adjustRightInd w:val="0"/>
                    <w:snapToGrid w:val="0"/>
                    <w:jc w:val="center"/>
                    <w:rPr>
                      <w:bCs/>
                      <w:kern w:val="0"/>
                      <w:szCs w:val="21"/>
                    </w:rPr>
                  </w:pPr>
                  <w:r>
                    <w:rPr>
                      <w:bCs/>
                      <w:kern w:val="0"/>
                      <w:szCs w:val="21"/>
                    </w:rPr>
                    <w:t>SS</w:t>
                  </w:r>
                </w:p>
              </w:tc>
              <w:tc>
                <w:tcPr>
                  <w:tcW w:w="1347" w:type="pct"/>
                  <w:gridSpan w:val="2"/>
                  <w:vAlign w:val="center"/>
                </w:tcPr>
                <w:p w14:paraId="00985B04">
                  <w:pPr>
                    <w:widowControl/>
                    <w:adjustRightInd w:val="0"/>
                    <w:snapToGrid w:val="0"/>
                    <w:jc w:val="center"/>
                    <w:rPr>
                      <w:kern w:val="0"/>
                      <w:szCs w:val="21"/>
                    </w:rPr>
                  </w:pPr>
                  <w:r>
                    <w:rPr>
                      <w:rFonts w:hint="eastAsia"/>
                      <w:kern w:val="0"/>
                      <w:szCs w:val="21"/>
                    </w:rPr>
                    <w:t>/</w:t>
                  </w:r>
                </w:p>
              </w:tc>
              <w:tc>
                <w:tcPr>
                  <w:tcW w:w="1747" w:type="pct"/>
                  <w:vAlign w:val="center"/>
                </w:tcPr>
                <w:p w14:paraId="6FE8606C">
                  <w:pPr>
                    <w:widowControl/>
                    <w:adjustRightInd w:val="0"/>
                    <w:snapToGrid w:val="0"/>
                    <w:jc w:val="center"/>
                    <w:rPr>
                      <w:color w:val="FF0000"/>
                      <w:kern w:val="0"/>
                      <w:szCs w:val="21"/>
                    </w:rPr>
                  </w:pPr>
                  <w:r>
                    <w:rPr>
                      <w:rFonts w:hint="eastAsia"/>
                      <w:kern w:val="0"/>
                      <w:szCs w:val="21"/>
                    </w:rPr>
                    <w:t>西侧厂区设50m</w:t>
                  </w:r>
                  <w:r>
                    <w:rPr>
                      <w:rFonts w:hint="eastAsia"/>
                      <w:kern w:val="0"/>
                      <w:szCs w:val="21"/>
                      <w:vertAlign w:val="superscript"/>
                    </w:rPr>
                    <w:t>3</w:t>
                  </w:r>
                  <w:r>
                    <w:rPr>
                      <w:rFonts w:hint="eastAsia"/>
                      <w:kern w:val="0"/>
                      <w:szCs w:val="21"/>
                    </w:rPr>
                    <w:t>初期雨水池，东侧厂区设40</w:t>
                  </w:r>
                  <w:r>
                    <w:rPr>
                      <w:kern w:val="0"/>
                      <w:szCs w:val="21"/>
                    </w:rPr>
                    <w:t>m</w:t>
                  </w:r>
                  <w:r>
                    <w:rPr>
                      <w:kern w:val="0"/>
                      <w:szCs w:val="21"/>
                      <w:vertAlign w:val="superscript"/>
                    </w:rPr>
                    <w:t>3</w:t>
                  </w:r>
                  <w:r>
                    <w:rPr>
                      <w:kern w:val="0"/>
                      <w:szCs w:val="21"/>
                    </w:rPr>
                    <w:t>初期雨水收集池，</w:t>
                  </w:r>
                  <w:r>
                    <w:rPr>
                      <w:rFonts w:hint="eastAsia"/>
                      <w:kern w:val="0"/>
                      <w:szCs w:val="21"/>
                    </w:rPr>
                    <w:t>沉淀后用于厂区洒水抑尘</w:t>
                  </w:r>
                </w:p>
              </w:tc>
              <w:tc>
                <w:tcPr>
                  <w:tcW w:w="602" w:type="pct"/>
                  <w:vAlign w:val="center"/>
                </w:tcPr>
                <w:p w14:paraId="40C80360">
                  <w:pPr>
                    <w:widowControl/>
                    <w:adjustRightInd w:val="0"/>
                    <w:snapToGrid w:val="0"/>
                    <w:jc w:val="center"/>
                    <w:rPr>
                      <w:kern w:val="0"/>
                      <w:szCs w:val="21"/>
                    </w:rPr>
                  </w:pPr>
                  <w:r>
                    <w:rPr>
                      <w:kern w:val="0"/>
                      <w:szCs w:val="21"/>
                    </w:rPr>
                    <w:t>0</w:t>
                  </w:r>
                </w:p>
              </w:tc>
            </w:tr>
          </w:tbl>
          <w:p w14:paraId="42506F80">
            <w:pPr>
              <w:spacing w:line="360" w:lineRule="auto"/>
              <w:ind w:firstLine="480" w:firstLineChars="200"/>
              <w:rPr>
                <w:sz w:val="24"/>
              </w:rPr>
            </w:pPr>
            <w:r>
              <w:rPr>
                <w:rFonts w:hint="eastAsia"/>
                <w:sz w:val="24"/>
              </w:rPr>
              <w:t>2. 环保措施可行性分析</w:t>
            </w:r>
          </w:p>
          <w:p w14:paraId="22D24B4E">
            <w:pPr>
              <w:spacing w:line="360" w:lineRule="auto"/>
              <w:ind w:firstLine="480" w:firstLineChars="200"/>
              <w:rPr>
                <w:sz w:val="24"/>
              </w:rPr>
            </w:pPr>
            <w:r>
              <w:rPr>
                <w:rFonts w:hint="eastAsia"/>
                <w:sz w:val="24"/>
              </w:rPr>
              <w:t>（1）生活污水</w:t>
            </w:r>
          </w:p>
          <w:p w14:paraId="789FC5F3">
            <w:pPr>
              <w:spacing w:line="360" w:lineRule="auto"/>
              <w:ind w:firstLine="480" w:firstLineChars="200"/>
              <w:rPr>
                <w:color w:val="FF0000"/>
                <w:sz w:val="24"/>
              </w:rPr>
            </w:pPr>
            <w:bookmarkStart w:id="16" w:name="_Hlk175747071"/>
            <w:r>
              <w:rPr>
                <w:sz w:val="24"/>
              </w:rPr>
              <w:t>生活污水主要为工作人员洗漱用水，厂区工作人员10人，用水定额为</w:t>
            </w:r>
            <w:r>
              <w:rPr>
                <w:rFonts w:hint="eastAsia"/>
                <w:sz w:val="24"/>
              </w:rPr>
              <w:t>7</w:t>
            </w:r>
            <w:r>
              <w:rPr>
                <w:sz w:val="24"/>
              </w:rPr>
              <w:t>0L/人⸱d计，则项目总用水为0.</w:t>
            </w:r>
            <w:r>
              <w:rPr>
                <w:rFonts w:hint="eastAsia"/>
                <w:sz w:val="24"/>
              </w:rPr>
              <w:t>7</w:t>
            </w:r>
            <w:r>
              <w:rPr>
                <w:sz w:val="24"/>
              </w:rPr>
              <w:t>m</w:t>
            </w:r>
            <w:r>
              <w:rPr>
                <w:sz w:val="24"/>
                <w:vertAlign w:val="superscript"/>
              </w:rPr>
              <w:t>3</w:t>
            </w:r>
            <w:r>
              <w:rPr>
                <w:sz w:val="24"/>
              </w:rPr>
              <w:t>/d；排水系数以80%计，则产生生活污水约0.</w:t>
            </w:r>
            <w:r>
              <w:rPr>
                <w:rFonts w:hint="eastAsia"/>
                <w:sz w:val="24"/>
              </w:rPr>
              <w:t>56</w:t>
            </w:r>
            <w:r>
              <w:rPr>
                <w:sz w:val="24"/>
              </w:rPr>
              <w:t>m</w:t>
            </w:r>
            <w:r>
              <w:rPr>
                <w:sz w:val="24"/>
                <w:vertAlign w:val="superscript"/>
              </w:rPr>
              <w:t>3</w:t>
            </w:r>
            <w:r>
              <w:rPr>
                <w:sz w:val="24"/>
              </w:rPr>
              <w:t>/d。</w:t>
            </w:r>
            <w:r>
              <w:rPr>
                <w:rFonts w:hint="eastAsia"/>
                <w:sz w:val="24"/>
              </w:rPr>
              <w:t>本项目工作天数为</w:t>
            </w:r>
            <w:r>
              <w:rPr>
                <w:sz w:val="24"/>
              </w:rPr>
              <w:t>300</w:t>
            </w:r>
            <w:r>
              <w:rPr>
                <w:rFonts w:hint="eastAsia"/>
                <w:sz w:val="24"/>
              </w:rPr>
              <w:t>d，全年产生废水量为168</w:t>
            </w:r>
            <w:r>
              <w:rPr>
                <w:sz w:val="24"/>
              </w:rPr>
              <w:t>m</w:t>
            </w:r>
            <w:r>
              <w:rPr>
                <w:sz w:val="24"/>
                <w:vertAlign w:val="superscript"/>
              </w:rPr>
              <w:t>3</w:t>
            </w:r>
            <w:r>
              <w:rPr>
                <w:rFonts w:hint="eastAsia"/>
                <w:sz w:val="24"/>
              </w:rPr>
              <w:t>。东侧</w:t>
            </w:r>
            <w:r>
              <w:rPr>
                <w:sz w:val="24"/>
              </w:rPr>
              <w:t>厂区建设</w:t>
            </w:r>
            <w:r>
              <w:rPr>
                <w:rFonts w:hint="eastAsia"/>
                <w:sz w:val="24"/>
              </w:rPr>
              <w:t>一座化粪池</w:t>
            </w:r>
            <w:r>
              <w:rPr>
                <w:sz w:val="24"/>
              </w:rPr>
              <w:t>，</w:t>
            </w:r>
            <w:r>
              <w:rPr>
                <w:rFonts w:hint="eastAsia"/>
                <w:sz w:val="24"/>
              </w:rPr>
              <w:t>容积为3</w:t>
            </w:r>
            <w:r>
              <w:rPr>
                <w:sz w:val="24"/>
              </w:rPr>
              <w:t>36</w:t>
            </w:r>
            <w:r>
              <w:rPr>
                <w:rFonts w:hint="eastAsia"/>
                <w:sz w:val="24"/>
              </w:rPr>
              <w:t>m</w:t>
            </w:r>
            <w:r>
              <w:rPr>
                <w:sz w:val="24"/>
                <w:vertAlign w:val="superscript"/>
              </w:rPr>
              <w:t>3</w:t>
            </w:r>
            <w:r>
              <w:rPr>
                <w:rFonts w:hint="eastAsia"/>
                <w:sz w:val="24"/>
              </w:rPr>
              <w:t>（6m×</w:t>
            </w:r>
            <w:r>
              <w:rPr>
                <w:sz w:val="24"/>
              </w:rPr>
              <w:t>7</w:t>
            </w:r>
            <w:r>
              <w:rPr>
                <w:rFonts w:hint="eastAsia"/>
                <w:sz w:val="24"/>
              </w:rPr>
              <w:t>m×</w:t>
            </w:r>
            <w:r>
              <w:rPr>
                <w:sz w:val="24"/>
              </w:rPr>
              <w:t>8</w:t>
            </w:r>
            <w:r>
              <w:rPr>
                <w:rFonts w:hint="eastAsia"/>
                <w:sz w:val="24"/>
              </w:rPr>
              <w:t>m），生活污水经化粪池沉淀后，</w:t>
            </w:r>
            <w:r>
              <w:rPr>
                <w:sz w:val="24"/>
              </w:rPr>
              <w:t>定期清掏</w:t>
            </w:r>
            <w:r>
              <w:rPr>
                <w:rFonts w:hint="eastAsia"/>
                <w:sz w:val="24"/>
              </w:rPr>
              <w:t>用于农田</w:t>
            </w:r>
            <w:r>
              <w:rPr>
                <w:sz w:val="24"/>
              </w:rPr>
              <w:t>。</w:t>
            </w:r>
          </w:p>
          <w:bookmarkEnd w:id="16"/>
          <w:p w14:paraId="2479FA95">
            <w:pPr>
              <w:spacing w:line="360" w:lineRule="auto"/>
              <w:ind w:firstLine="480" w:firstLineChars="200"/>
              <w:rPr>
                <w:color w:val="000000"/>
                <w:sz w:val="24"/>
              </w:rPr>
            </w:pPr>
            <w:r>
              <w:rPr>
                <w:rFonts w:hint="eastAsia"/>
                <w:sz w:val="24"/>
              </w:rPr>
              <w:t>（2）</w:t>
            </w:r>
            <w:r>
              <w:rPr>
                <w:rFonts w:hint="eastAsia"/>
                <w:color w:val="000000"/>
                <w:sz w:val="24"/>
              </w:rPr>
              <w:t>初期雨水</w:t>
            </w:r>
          </w:p>
          <w:p w14:paraId="768EF0FB">
            <w:pPr>
              <w:spacing w:line="360" w:lineRule="auto"/>
              <w:ind w:firstLine="480" w:firstLineChars="200"/>
              <w:rPr>
                <w:sz w:val="24"/>
              </w:rPr>
            </w:pPr>
            <w:bookmarkStart w:id="17" w:name="_Hlk175747099"/>
            <w:r>
              <w:rPr>
                <w:rFonts w:hint="eastAsia"/>
                <w:sz w:val="24"/>
              </w:rPr>
              <w:t>厂区外两侧铺设混凝土排水管道用于雨水排放；</w:t>
            </w:r>
            <w:r>
              <w:rPr>
                <w:rFonts w:hint="eastAsia"/>
                <w:color w:val="000000"/>
                <w:sz w:val="24"/>
              </w:rPr>
              <w:t>厂区内雨污分流，设置独立的雨水管网，并应</w:t>
            </w:r>
            <w:r>
              <w:rPr>
                <w:color w:val="000000"/>
                <w:sz w:val="24"/>
              </w:rPr>
              <w:t>在场地</w:t>
            </w:r>
            <w:r>
              <w:rPr>
                <w:rFonts w:hint="eastAsia"/>
                <w:sz w:val="24"/>
              </w:rPr>
              <w:t>地势最低处</w:t>
            </w:r>
            <w:r>
              <w:rPr>
                <w:sz w:val="24"/>
              </w:rPr>
              <w:t>设置雨水收集沉淀池，收集范围为厂区的全部汇水面积</w:t>
            </w:r>
            <w:r>
              <w:rPr>
                <w:rFonts w:hint="eastAsia"/>
                <w:sz w:val="24"/>
              </w:rPr>
              <w:t>，</w:t>
            </w:r>
            <w:r>
              <w:rPr>
                <w:sz w:val="24"/>
              </w:rPr>
              <w:t>收集前</w:t>
            </w:r>
            <w:r>
              <w:rPr>
                <w:rFonts w:hint="eastAsia"/>
                <w:sz w:val="24"/>
              </w:rPr>
              <w:t>15</w:t>
            </w:r>
            <w:r>
              <w:rPr>
                <w:sz w:val="24"/>
              </w:rPr>
              <w:t>分钟的雨量，经沉淀后</w:t>
            </w:r>
            <w:r>
              <w:rPr>
                <w:rFonts w:hint="eastAsia"/>
                <w:sz w:val="24"/>
              </w:rPr>
              <w:t>回用于厂区洒水抑尘</w:t>
            </w:r>
            <w:r>
              <w:rPr>
                <w:sz w:val="24"/>
              </w:rPr>
              <w:t>，不外排。</w:t>
            </w:r>
          </w:p>
          <w:bookmarkEnd w:id="17"/>
          <w:p w14:paraId="64BFB8A1">
            <w:pPr>
              <w:spacing w:line="360" w:lineRule="auto"/>
              <w:ind w:firstLine="480" w:firstLineChars="200"/>
              <w:rPr>
                <w:snapToGrid w:val="0"/>
                <w:sz w:val="24"/>
              </w:rPr>
            </w:pPr>
            <w:r>
              <w:rPr>
                <w:rFonts w:hint="eastAsia"/>
                <w:snapToGrid w:val="0"/>
                <w:sz w:val="24"/>
              </w:rPr>
              <w:t>初期雨水收集池容积按下式计算：</w:t>
            </w:r>
          </w:p>
          <w:p w14:paraId="2A1AE49D">
            <w:pPr>
              <w:spacing w:line="360" w:lineRule="auto"/>
              <w:jc w:val="center"/>
              <w:rPr>
                <w:snapToGrid w:val="0"/>
                <w:sz w:val="24"/>
              </w:rPr>
            </w:pPr>
            <m:oMathPara>
              <m:oMath>
                <m:sSub>
                  <m:sSubPr>
                    <m:ctrlPr>
                      <w:rPr>
                        <w:rFonts w:ascii="Cambria Math" w:hAnsi="Cambria Math"/>
                        <w:i/>
                        <w:snapToGrid w:val="0"/>
                        <w:sz w:val="24"/>
                      </w:rPr>
                    </m:ctrlPr>
                  </m:sSubPr>
                  <m:e>
                    <m:r>
                      <m:rPr/>
                      <w:rPr>
                        <w:rFonts w:ascii="Cambria Math" w:hAnsi="Cambria Math"/>
                        <w:snapToGrid w:val="0"/>
                        <w:sz w:val="24"/>
                      </w:rPr>
                      <m:t>V</m:t>
                    </m:r>
                    <m:ctrlPr>
                      <w:rPr>
                        <w:rFonts w:ascii="Cambria Math" w:hAnsi="Cambria Math"/>
                        <w:i/>
                        <w:snapToGrid w:val="0"/>
                        <w:sz w:val="24"/>
                      </w:rPr>
                    </m:ctrlPr>
                  </m:e>
                  <m:sub>
                    <m:r>
                      <m:rPr/>
                      <w:rPr>
                        <w:rFonts w:hint="eastAsia" w:ascii="Cambria Math" w:hAnsi="Cambria Math"/>
                        <w:snapToGrid w:val="0"/>
                        <w:sz w:val="24"/>
                      </w:rPr>
                      <m:t>雨水池</m:t>
                    </m:r>
                    <m:ctrlPr>
                      <w:rPr>
                        <w:rFonts w:ascii="Cambria Math" w:hAnsi="Cambria Math"/>
                        <w:i/>
                        <w:snapToGrid w:val="0"/>
                        <w:sz w:val="24"/>
                      </w:rPr>
                    </m:ctrlPr>
                  </m:sub>
                </m:sSub>
                <m:r>
                  <m:rPr/>
                  <w:rPr>
                    <w:rFonts w:ascii="Cambria Math" w:hAnsi="Cambria Math"/>
                    <w:snapToGrid w:val="0"/>
                    <w:sz w:val="24"/>
                  </w:rPr>
                  <m:t>=Ф</m:t>
                </m:r>
                <m:r>
                  <m:rPr>
                    <m:sty m:val="p"/>
                  </m:rPr>
                  <w:rPr>
                    <w:rFonts w:ascii="Cambria Math" w:hAnsi="Cambria Math"/>
                    <w:snapToGrid w:val="0"/>
                    <w:sz w:val="24"/>
                  </w:rPr>
                  <m:t>×</m:t>
                </m:r>
                <m:r>
                  <m:rPr/>
                  <w:rPr>
                    <w:rFonts w:ascii="Cambria Math" w:hAnsi="Cambria Math"/>
                    <w:snapToGrid w:val="0"/>
                    <w:sz w:val="24"/>
                  </w:rPr>
                  <m:t>q</m:t>
                </m:r>
                <m:r>
                  <m:rPr>
                    <m:sty m:val="p"/>
                  </m:rPr>
                  <w:rPr>
                    <w:rFonts w:ascii="Cambria Math" w:hAnsi="Cambria Math"/>
                    <w:snapToGrid w:val="0"/>
                    <w:sz w:val="24"/>
                  </w:rPr>
                  <m:t>×</m:t>
                </m:r>
                <m:r>
                  <m:rPr/>
                  <w:rPr>
                    <w:rFonts w:ascii="Cambria Math" w:hAnsi="Cambria Math"/>
                    <w:snapToGrid w:val="0"/>
                    <w:sz w:val="24"/>
                  </w:rPr>
                  <m:t>F</m:t>
                </m:r>
                <m:r>
                  <m:rPr>
                    <m:sty m:val="p"/>
                  </m:rPr>
                  <w:rPr>
                    <w:rFonts w:ascii="Cambria Math" w:hAnsi="Cambria Math"/>
                    <w:snapToGrid w:val="0"/>
                    <w:sz w:val="24"/>
                  </w:rPr>
                  <m:t>×</m:t>
                </m:r>
                <m:r>
                  <m:rPr/>
                  <w:rPr>
                    <w:rFonts w:ascii="Cambria Math" w:hAnsi="Cambria Math"/>
                    <w:snapToGrid w:val="0"/>
                    <w:sz w:val="24"/>
                  </w:rPr>
                  <m:t>t</m:t>
                </m:r>
                <m:r>
                  <m:rPr>
                    <m:sty m:val="p"/>
                  </m:rPr>
                  <w:rPr>
                    <w:rFonts w:ascii="Cambria Math" w:hAnsi="Cambria Math"/>
                    <w:snapToGrid w:val="0"/>
                    <w:sz w:val="24"/>
                  </w:rPr>
                  <m:t>×60÷1000</m:t>
                </m:r>
              </m:oMath>
            </m:oMathPara>
          </w:p>
          <w:p w14:paraId="64C112A1">
            <w:pPr>
              <w:adjustRightInd w:val="0"/>
              <w:snapToGrid w:val="0"/>
              <w:spacing w:line="360" w:lineRule="auto"/>
              <w:ind w:firstLine="480" w:firstLineChars="200"/>
            </w:pPr>
            <w:r>
              <w:rPr>
                <w:snapToGrid w:val="0"/>
                <w:sz w:val="24"/>
              </w:rPr>
              <w:t>式中：Ф—径流系数，取0.9</w:t>
            </w:r>
            <w:r>
              <w:t xml:space="preserve"> </w:t>
            </w:r>
            <w:r>
              <w:rPr>
                <w:rFonts w:hint="eastAsia"/>
              </w:rPr>
              <w:t>；</w:t>
            </w:r>
          </w:p>
          <w:p w14:paraId="5DF4A226">
            <w:pPr>
              <w:adjustRightInd w:val="0"/>
              <w:snapToGrid w:val="0"/>
              <w:spacing w:line="360" w:lineRule="auto"/>
              <w:ind w:firstLine="480" w:firstLineChars="200"/>
              <w:rPr>
                <w:snapToGrid w:val="0"/>
                <w:sz w:val="24"/>
              </w:rPr>
            </w:pPr>
            <w:r>
              <w:rPr>
                <w:snapToGrid w:val="0"/>
                <w:sz w:val="24"/>
              </w:rPr>
              <w:t>q—设计暴雨强度，（L/s•hm</w:t>
            </w:r>
            <w:r>
              <w:rPr>
                <w:snapToGrid w:val="0"/>
                <w:sz w:val="24"/>
                <w:vertAlign w:val="superscript"/>
              </w:rPr>
              <w:t>2</w:t>
            </w:r>
            <w:r>
              <w:rPr>
                <w:snapToGrid w:val="0"/>
                <w:sz w:val="24"/>
              </w:rPr>
              <w:t>）</w:t>
            </w:r>
            <w:r>
              <w:rPr>
                <w:rFonts w:hint="eastAsia"/>
                <w:snapToGrid w:val="0"/>
                <w:sz w:val="24"/>
              </w:rPr>
              <w:t>；</w:t>
            </w:r>
          </w:p>
          <w:p w14:paraId="0CFD68B8">
            <w:pPr>
              <w:adjustRightInd w:val="0"/>
              <w:snapToGrid w:val="0"/>
              <w:spacing w:line="360" w:lineRule="auto"/>
              <w:ind w:firstLine="480" w:firstLineChars="200"/>
              <w:rPr>
                <w:snapToGrid w:val="0"/>
                <w:sz w:val="24"/>
              </w:rPr>
            </w:pPr>
            <w:r>
              <w:rPr>
                <w:snapToGrid w:val="0"/>
                <w:sz w:val="24"/>
              </w:rPr>
              <w:t>F—汇水面积，hm</w:t>
            </w:r>
            <w:r>
              <w:rPr>
                <w:snapToGrid w:val="0"/>
                <w:sz w:val="24"/>
                <w:vertAlign w:val="superscript"/>
              </w:rPr>
              <w:t>2</w:t>
            </w:r>
            <w:r>
              <w:rPr>
                <w:rFonts w:hint="eastAsia"/>
                <w:snapToGrid w:val="0"/>
                <w:sz w:val="24"/>
              </w:rPr>
              <w:t>，取</w:t>
            </w:r>
            <w:r>
              <w:rPr>
                <w:snapToGrid w:val="0"/>
                <w:sz w:val="24"/>
              </w:rPr>
              <w:t>0.34</w:t>
            </w:r>
            <w:r>
              <w:rPr>
                <w:rFonts w:hint="eastAsia"/>
                <w:snapToGrid w:val="0"/>
                <w:sz w:val="24"/>
              </w:rPr>
              <w:t>（西侧厂区面积），取0.28（东侧厂区）。</w:t>
            </w:r>
          </w:p>
          <w:p w14:paraId="70A7174F">
            <w:pPr>
              <w:adjustRightInd w:val="0"/>
              <w:snapToGrid w:val="0"/>
              <w:spacing w:line="360" w:lineRule="auto"/>
              <w:ind w:firstLine="480" w:firstLineChars="200"/>
              <w:rPr>
                <w:snapToGrid w:val="0"/>
                <w:sz w:val="24"/>
              </w:rPr>
            </w:pPr>
            <w:r>
              <w:rPr>
                <w:snapToGrid w:val="0"/>
                <w:sz w:val="24"/>
              </w:rPr>
              <w:t>暴雨强度q采用离石暴雨强度公式：</w:t>
            </w:r>
          </w:p>
          <w:p w14:paraId="553621F1">
            <w:pPr>
              <w:adjustRightInd w:val="0"/>
              <w:snapToGrid w:val="0"/>
              <w:spacing w:line="360" w:lineRule="auto"/>
              <w:ind w:firstLine="480" w:firstLineChars="200"/>
              <w:jc w:val="center"/>
              <w:rPr>
                <w:snapToGrid w:val="0"/>
                <w:sz w:val="24"/>
              </w:rPr>
            </w:pPr>
            <w:r>
              <w:rPr>
                <w:snapToGrid w:val="0"/>
                <w:sz w:val="24"/>
              </w:rPr>
              <w:drawing>
                <wp:inline distT="0" distB="0" distL="0" distR="0">
                  <wp:extent cx="1743075" cy="533400"/>
                  <wp:effectExtent l="0" t="0" r="0" b="0"/>
                  <wp:docPr id="2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743075" cy="533400"/>
                          </a:xfrm>
                          <a:prstGeom prst="rect">
                            <a:avLst/>
                          </a:prstGeom>
                          <a:noFill/>
                          <a:ln>
                            <a:noFill/>
                          </a:ln>
                        </pic:spPr>
                      </pic:pic>
                    </a:graphicData>
                  </a:graphic>
                </wp:inline>
              </w:drawing>
            </w:r>
          </w:p>
          <w:p w14:paraId="18C0F84A">
            <w:pPr>
              <w:adjustRightInd w:val="0"/>
              <w:snapToGrid w:val="0"/>
              <w:spacing w:line="360" w:lineRule="auto"/>
              <w:ind w:firstLine="480" w:firstLineChars="200"/>
              <w:rPr>
                <w:snapToGrid w:val="0"/>
                <w:sz w:val="24"/>
              </w:rPr>
            </w:pPr>
            <w:bookmarkStart w:id="18" w:name="_Hlk175747128"/>
            <w:r>
              <w:rPr>
                <w:rFonts w:hint="eastAsia"/>
                <w:snapToGrid w:val="0"/>
                <w:sz w:val="24"/>
              </w:rPr>
              <w:t>经计算西侧厂区场地内15min雨水量为</w:t>
            </w:r>
            <w:r>
              <w:rPr>
                <w:snapToGrid w:val="0"/>
                <w:sz w:val="24"/>
              </w:rPr>
              <w:t>40.</w:t>
            </w:r>
            <w:r>
              <w:rPr>
                <w:rFonts w:hint="eastAsia"/>
                <w:snapToGrid w:val="0"/>
                <w:sz w:val="24"/>
              </w:rPr>
              <w:t>23m</w:t>
            </w:r>
            <w:r>
              <w:rPr>
                <w:rFonts w:hint="eastAsia"/>
                <w:snapToGrid w:val="0"/>
                <w:sz w:val="24"/>
                <w:vertAlign w:val="superscript"/>
              </w:rPr>
              <w:t>3</w:t>
            </w:r>
            <w:r>
              <w:rPr>
                <w:rFonts w:hint="eastAsia"/>
                <w:snapToGrid w:val="0"/>
                <w:sz w:val="24"/>
              </w:rPr>
              <w:t>，东侧厂区场地内15min雨水量为33.13m</w:t>
            </w:r>
            <w:r>
              <w:rPr>
                <w:rFonts w:hint="eastAsia"/>
                <w:snapToGrid w:val="0"/>
                <w:sz w:val="24"/>
                <w:vertAlign w:val="superscript"/>
              </w:rPr>
              <w:t>3</w:t>
            </w:r>
            <w:r>
              <w:rPr>
                <w:rFonts w:hint="eastAsia"/>
                <w:snapToGrid w:val="0"/>
                <w:sz w:val="24"/>
              </w:rPr>
              <w:t>。</w:t>
            </w:r>
            <w:bookmarkEnd w:id="18"/>
            <w:r>
              <w:rPr>
                <w:rFonts w:hint="eastAsia"/>
                <w:snapToGrid w:val="0"/>
                <w:sz w:val="24"/>
              </w:rPr>
              <w:t>企业在厂区四周设置截水沟，并于西侧厂区最低处建设一座</w:t>
            </w:r>
            <w:r>
              <w:rPr>
                <w:snapToGrid w:val="0"/>
                <w:sz w:val="24"/>
              </w:rPr>
              <w:t>50</w:t>
            </w:r>
            <w:r>
              <w:rPr>
                <w:rFonts w:hint="eastAsia"/>
                <w:snapToGrid w:val="0"/>
                <w:sz w:val="24"/>
              </w:rPr>
              <w:t>m</w:t>
            </w:r>
            <w:r>
              <w:rPr>
                <w:rFonts w:hint="eastAsia"/>
                <w:snapToGrid w:val="0"/>
                <w:sz w:val="24"/>
                <w:vertAlign w:val="superscript"/>
              </w:rPr>
              <w:t>3</w:t>
            </w:r>
            <w:r>
              <w:rPr>
                <w:rFonts w:hint="eastAsia"/>
                <w:snapToGrid w:val="0"/>
                <w:sz w:val="24"/>
              </w:rPr>
              <w:t>初期雨水池，于东侧厂区最低处建设一座40m</w:t>
            </w:r>
            <w:r>
              <w:rPr>
                <w:snapToGrid w:val="0"/>
                <w:sz w:val="24"/>
                <w:vertAlign w:val="superscript"/>
              </w:rPr>
              <w:t>3</w:t>
            </w:r>
            <w:r>
              <w:rPr>
                <w:rFonts w:hint="eastAsia"/>
                <w:snapToGrid w:val="0"/>
                <w:sz w:val="24"/>
              </w:rPr>
              <w:t>初期雨水池。同时设置一座阀门井，连接初期雨水池及雨水排水管道。降雨前1</w:t>
            </w:r>
            <w:r>
              <w:rPr>
                <w:snapToGrid w:val="0"/>
                <w:sz w:val="24"/>
              </w:rPr>
              <w:t>5</w:t>
            </w:r>
            <w:r>
              <w:rPr>
                <w:rFonts w:hint="eastAsia"/>
                <w:snapToGrid w:val="0"/>
                <w:sz w:val="24"/>
              </w:rPr>
              <w:t>min，阀门井与初期雨水池连接，雨水进入雨水收集池内，1</w:t>
            </w:r>
            <w:r>
              <w:rPr>
                <w:snapToGrid w:val="0"/>
                <w:sz w:val="24"/>
              </w:rPr>
              <w:t>5</w:t>
            </w:r>
            <w:r>
              <w:rPr>
                <w:rFonts w:hint="eastAsia"/>
                <w:snapToGrid w:val="0"/>
                <w:sz w:val="24"/>
              </w:rPr>
              <w:t>min以后，关闭初期雨水池进水阀门，开启雨水排水阀，雨水经排水管道排出场外。</w:t>
            </w:r>
          </w:p>
          <w:p w14:paraId="3E01EB47">
            <w:pPr>
              <w:spacing w:line="360" w:lineRule="auto"/>
              <w:ind w:firstLine="480" w:firstLineChars="200"/>
              <w:rPr>
                <w:kern w:val="0"/>
                <w:sz w:val="24"/>
              </w:rPr>
            </w:pPr>
            <w:r>
              <w:rPr>
                <w:rFonts w:hint="eastAsia"/>
                <w:color w:val="000000"/>
                <w:sz w:val="24"/>
              </w:rPr>
              <w:t>（3）</w:t>
            </w:r>
            <w:r>
              <w:rPr>
                <w:kern w:val="0"/>
                <w:sz w:val="24"/>
              </w:rPr>
              <w:t>洗车废水</w:t>
            </w:r>
          </w:p>
          <w:p w14:paraId="6AABC5B4">
            <w:pPr>
              <w:spacing w:line="360" w:lineRule="auto"/>
              <w:ind w:firstLine="480" w:firstLineChars="200"/>
              <w:rPr>
                <w:kern w:val="0"/>
                <w:sz w:val="24"/>
              </w:rPr>
            </w:pPr>
            <w:bookmarkStart w:id="19" w:name="_Hlk175747153"/>
            <w:r>
              <w:rPr>
                <w:kern w:val="0"/>
                <w:sz w:val="24"/>
              </w:rPr>
              <w:t>本项目在厂区出</w:t>
            </w:r>
            <w:r>
              <w:rPr>
                <w:rFonts w:hint="eastAsia"/>
                <w:kern w:val="0"/>
                <w:sz w:val="24"/>
              </w:rPr>
              <w:t>入</w:t>
            </w:r>
            <w:r>
              <w:rPr>
                <w:kern w:val="0"/>
                <w:sz w:val="24"/>
              </w:rPr>
              <w:t>口设置</w:t>
            </w:r>
            <w:r>
              <w:rPr>
                <w:sz w:val="24"/>
              </w:rPr>
              <w:t>洗车</w:t>
            </w:r>
            <w:r>
              <w:rPr>
                <w:kern w:val="0"/>
                <w:sz w:val="24"/>
              </w:rPr>
              <w:t>平台一个，用于清洗运输车辆。洗车产生废水（</w:t>
            </w:r>
            <w:r>
              <w:rPr>
                <w:rFonts w:hint="eastAsia"/>
                <w:kern w:val="0"/>
                <w:sz w:val="24"/>
              </w:rPr>
              <w:t>2.176</w:t>
            </w:r>
            <w:r>
              <w:rPr>
                <w:kern w:val="0"/>
                <w:sz w:val="24"/>
              </w:rPr>
              <w:t>m</w:t>
            </w:r>
            <w:r>
              <w:rPr>
                <w:kern w:val="0"/>
                <w:sz w:val="24"/>
                <w:vertAlign w:val="superscript"/>
              </w:rPr>
              <w:t>3</w:t>
            </w:r>
            <w:r>
              <w:rPr>
                <w:kern w:val="0"/>
                <w:sz w:val="24"/>
              </w:rPr>
              <w:t>/d）。洗车废水经</w:t>
            </w:r>
            <w:r>
              <w:rPr>
                <w:rFonts w:hint="eastAsia"/>
                <w:kern w:val="0"/>
                <w:sz w:val="24"/>
              </w:rPr>
              <w:t>沉淀池沉淀</w:t>
            </w:r>
            <w:r>
              <w:rPr>
                <w:kern w:val="0"/>
                <w:sz w:val="24"/>
              </w:rPr>
              <w:t>后循环利用，不外排。</w:t>
            </w:r>
          </w:p>
          <w:bookmarkEnd w:id="19"/>
          <w:p w14:paraId="5ACC6C19">
            <w:pPr>
              <w:spacing w:line="360" w:lineRule="auto"/>
              <w:ind w:firstLine="480" w:firstLineChars="200"/>
              <w:rPr>
                <w:bCs/>
                <w:kern w:val="0"/>
                <w:sz w:val="24"/>
              </w:rPr>
            </w:pPr>
            <w:r>
              <w:rPr>
                <w:rFonts w:hint="eastAsia"/>
                <w:kern w:val="0"/>
                <w:sz w:val="24"/>
              </w:rPr>
              <w:t>本项目洗车平台长</w:t>
            </w:r>
            <w:r>
              <w:rPr>
                <w:kern w:val="0"/>
                <w:sz w:val="24"/>
              </w:rPr>
              <w:t>20m</w:t>
            </w:r>
            <w:r>
              <w:rPr>
                <w:rFonts w:hint="eastAsia"/>
                <w:kern w:val="0"/>
                <w:sz w:val="24"/>
              </w:rPr>
              <w:t>，宽</w:t>
            </w:r>
            <w:r>
              <w:rPr>
                <w:kern w:val="0"/>
                <w:sz w:val="24"/>
              </w:rPr>
              <w:t>4.3m</w:t>
            </w:r>
            <w:r>
              <w:rPr>
                <w:rFonts w:hint="eastAsia"/>
                <w:kern w:val="0"/>
                <w:sz w:val="24"/>
              </w:rPr>
              <w:t>，下方设有导流槽，将清洗废水引入二级沉淀池，经沉淀后进入清水池回用。一级沉淀池容积为</w:t>
            </w:r>
            <w:r>
              <w:rPr>
                <w:kern w:val="0"/>
                <w:sz w:val="24"/>
              </w:rPr>
              <w:t>9.2m</w:t>
            </w:r>
            <w:r>
              <w:rPr>
                <w:kern w:val="0"/>
                <w:sz w:val="24"/>
                <w:vertAlign w:val="superscript"/>
              </w:rPr>
              <w:t>3</w:t>
            </w:r>
            <w:r>
              <w:rPr>
                <w:rFonts w:hint="eastAsia"/>
                <w:kern w:val="0"/>
                <w:sz w:val="24"/>
              </w:rPr>
              <w:t>（</w:t>
            </w:r>
            <w:r>
              <w:rPr>
                <w:kern w:val="0"/>
                <w:sz w:val="24"/>
              </w:rPr>
              <w:t>2m×2.3m×2m</w:t>
            </w:r>
            <w:r>
              <w:rPr>
                <w:rFonts w:hint="eastAsia"/>
                <w:kern w:val="0"/>
                <w:sz w:val="24"/>
              </w:rPr>
              <w:t>），二级沉淀池容积为</w:t>
            </w:r>
            <w:r>
              <w:rPr>
                <w:kern w:val="0"/>
                <w:sz w:val="24"/>
              </w:rPr>
              <w:t>9.2m</w:t>
            </w:r>
            <w:r>
              <w:rPr>
                <w:kern w:val="0"/>
                <w:sz w:val="24"/>
                <w:vertAlign w:val="superscript"/>
              </w:rPr>
              <w:t>3</w:t>
            </w:r>
            <w:r>
              <w:rPr>
                <w:rFonts w:hint="eastAsia"/>
                <w:kern w:val="0"/>
                <w:sz w:val="24"/>
              </w:rPr>
              <w:t>（</w:t>
            </w:r>
            <w:r>
              <w:rPr>
                <w:kern w:val="0"/>
                <w:sz w:val="24"/>
              </w:rPr>
              <w:t>4.6m×1m×2m</w:t>
            </w:r>
            <w:r>
              <w:rPr>
                <w:rFonts w:hint="eastAsia"/>
                <w:kern w:val="0"/>
                <w:sz w:val="24"/>
              </w:rPr>
              <w:t>），清水池容积为</w:t>
            </w:r>
            <w:r>
              <w:rPr>
                <w:kern w:val="0"/>
                <w:sz w:val="24"/>
              </w:rPr>
              <w:t>9.2m</w:t>
            </w:r>
            <w:r>
              <w:rPr>
                <w:kern w:val="0"/>
                <w:sz w:val="24"/>
                <w:vertAlign w:val="superscript"/>
              </w:rPr>
              <w:t>3</w:t>
            </w:r>
            <w:r>
              <w:rPr>
                <w:rFonts w:hint="eastAsia"/>
                <w:kern w:val="0"/>
                <w:sz w:val="24"/>
              </w:rPr>
              <w:t>（</w:t>
            </w:r>
            <w:r>
              <w:rPr>
                <w:kern w:val="0"/>
                <w:sz w:val="24"/>
              </w:rPr>
              <w:t>2m×2.3m×2m</w:t>
            </w:r>
            <w:r>
              <w:rPr>
                <w:rFonts w:hint="eastAsia"/>
                <w:kern w:val="0"/>
                <w:sz w:val="24"/>
              </w:rPr>
              <w:t>）。洗车台前设置抖车台，喷淋洗车要确保能够覆盖车轮和车身，洗车台建设站房保证冰冻季节正常使用，站台要全面硬化。</w:t>
            </w:r>
          </w:p>
          <w:p w14:paraId="6F5BCF86">
            <w:pPr>
              <w:spacing w:line="360" w:lineRule="auto"/>
              <w:ind w:firstLine="480" w:firstLineChars="200"/>
              <w:rPr>
                <w:kern w:val="0"/>
                <w:sz w:val="24"/>
              </w:rPr>
            </w:pPr>
            <w:r>
              <w:rPr>
                <w:bCs/>
                <w:kern w:val="0"/>
                <w:sz w:val="24"/>
              </w:rPr>
              <w:t>综上，采取以上措施后，本项目建设不会对地表水环境造成影响。</w:t>
            </w:r>
          </w:p>
          <w:p w14:paraId="30353CB8">
            <w:pPr>
              <w:rPr>
                <w:kern w:val="0"/>
                <w:sz w:val="24"/>
              </w:rPr>
            </w:pPr>
            <w:r>
              <w:rPr>
                <w:kern w:val="0"/>
                <w:sz w:val="24"/>
              </w:rPr>
              <w:drawing>
                <wp:inline distT="0" distB="0" distL="0" distR="0">
                  <wp:extent cx="4752975" cy="2619375"/>
                  <wp:effectExtent l="0" t="0" r="0" b="0"/>
                  <wp:docPr id="2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752975" cy="2619788"/>
                          </a:xfrm>
                          <a:prstGeom prst="rect">
                            <a:avLst/>
                          </a:prstGeom>
                          <a:noFill/>
                          <a:ln>
                            <a:noFill/>
                          </a:ln>
                        </pic:spPr>
                      </pic:pic>
                    </a:graphicData>
                  </a:graphic>
                </wp:inline>
              </w:drawing>
            </w:r>
          </w:p>
          <w:p w14:paraId="05672E32">
            <w:pPr>
              <w:spacing w:line="360" w:lineRule="auto"/>
              <w:jc w:val="center"/>
              <w:rPr>
                <w:b/>
                <w:bCs/>
                <w:color w:val="000000"/>
                <w:szCs w:val="21"/>
              </w:rPr>
            </w:pPr>
            <w:r>
              <w:rPr>
                <w:rFonts w:hint="eastAsia"/>
                <w:b/>
                <w:bCs/>
                <w:color w:val="000000"/>
                <w:szCs w:val="21"/>
              </w:rPr>
              <w:t>图4</w:t>
            </w:r>
            <w:r>
              <w:rPr>
                <w:b/>
                <w:bCs/>
                <w:color w:val="000000"/>
                <w:szCs w:val="21"/>
              </w:rPr>
              <w:t xml:space="preserve">-1  </w:t>
            </w:r>
            <w:r>
              <w:rPr>
                <w:rFonts w:hint="eastAsia"/>
                <w:b/>
                <w:bCs/>
                <w:color w:val="000000"/>
                <w:szCs w:val="21"/>
              </w:rPr>
              <w:t>洗车平台平面布置示意图</w:t>
            </w:r>
          </w:p>
          <w:p w14:paraId="6263F55A">
            <w:pPr>
              <w:adjustRightInd w:val="0"/>
              <w:snapToGrid w:val="0"/>
              <w:spacing w:line="360" w:lineRule="auto"/>
              <w:rPr>
                <w:b/>
                <w:bCs/>
                <w:sz w:val="24"/>
              </w:rPr>
            </w:pPr>
            <w:r>
              <w:rPr>
                <w:b/>
                <w:bCs/>
                <w:sz w:val="24"/>
              </w:rPr>
              <w:t>4.2.3 声环境影响分析及污染防治措施</w:t>
            </w:r>
          </w:p>
          <w:p w14:paraId="2FC85896">
            <w:pPr>
              <w:spacing w:line="360" w:lineRule="auto"/>
              <w:ind w:firstLine="480" w:firstLineChars="200"/>
              <w:rPr>
                <w:color w:val="000000"/>
                <w:sz w:val="24"/>
                <w:szCs w:val="22"/>
              </w:rPr>
            </w:pPr>
            <w:r>
              <w:rPr>
                <w:rFonts w:hint="eastAsia"/>
                <w:color w:val="000000"/>
                <w:sz w:val="24"/>
                <w:szCs w:val="22"/>
              </w:rPr>
              <w:t xml:space="preserve">1. </w:t>
            </w:r>
            <w:r>
              <w:rPr>
                <w:color w:val="000000"/>
                <w:sz w:val="24"/>
                <w:szCs w:val="22"/>
              </w:rPr>
              <w:t>噪声源强</w:t>
            </w:r>
          </w:p>
          <w:p w14:paraId="33FB32A2">
            <w:pPr>
              <w:spacing w:line="360" w:lineRule="auto"/>
              <w:ind w:firstLine="480" w:firstLineChars="200"/>
              <w:rPr>
                <w:color w:val="000000"/>
                <w:sz w:val="24"/>
              </w:rPr>
            </w:pPr>
            <w:r>
              <w:rPr>
                <w:kern w:val="0"/>
                <w:sz w:val="24"/>
              </w:rPr>
              <w:t>本项目</w:t>
            </w:r>
            <w:r>
              <w:rPr>
                <w:rFonts w:hint="eastAsia"/>
                <w:kern w:val="0"/>
                <w:sz w:val="24"/>
              </w:rPr>
              <w:t>厂区</w:t>
            </w:r>
            <w:r>
              <w:rPr>
                <w:color w:val="000000"/>
                <w:sz w:val="24"/>
              </w:rPr>
              <w:t>主要噪声源</w:t>
            </w:r>
            <w:r>
              <w:rPr>
                <w:rFonts w:hint="eastAsia"/>
                <w:color w:val="000000"/>
                <w:sz w:val="24"/>
              </w:rPr>
              <w:t>为主</w:t>
            </w:r>
            <w:r>
              <w:rPr>
                <w:color w:val="000000"/>
                <w:sz w:val="24"/>
              </w:rPr>
              <w:t>搅拌机、风机、皮带输送机</w:t>
            </w:r>
            <w:r>
              <w:rPr>
                <w:rFonts w:hint="eastAsia"/>
                <w:color w:val="000000"/>
                <w:sz w:val="24"/>
              </w:rPr>
              <w:t>、提升机</w:t>
            </w:r>
            <w:r>
              <w:rPr>
                <w:color w:val="000000"/>
                <w:sz w:val="24"/>
              </w:rPr>
              <w:t>等设备，噪声级在70~85dB(A)之间。主要设备的噪声级强度见表4-</w:t>
            </w:r>
            <w:r>
              <w:rPr>
                <w:rFonts w:hint="eastAsia"/>
                <w:color w:val="000000"/>
                <w:sz w:val="24"/>
              </w:rPr>
              <w:t>7</w:t>
            </w:r>
            <w:r>
              <w:rPr>
                <w:color w:val="000000"/>
                <w:sz w:val="24"/>
              </w:rPr>
              <w:t>、4-</w:t>
            </w:r>
            <w:r>
              <w:rPr>
                <w:rFonts w:hint="eastAsia"/>
                <w:color w:val="000000"/>
                <w:sz w:val="24"/>
              </w:rPr>
              <w:t>8</w:t>
            </w:r>
            <w:r>
              <w:rPr>
                <w:color w:val="000000"/>
                <w:sz w:val="24"/>
              </w:rPr>
              <w:t>。</w:t>
            </w:r>
          </w:p>
          <w:p w14:paraId="46D236E9">
            <w:pPr>
              <w:spacing w:line="360" w:lineRule="auto"/>
              <w:ind w:firstLine="504" w:firstLineChars="200"/>
              <w:rPr>
                <w:color w:val="000000"/>
                <w:spacing w:val="6"/>
                <w:sz w:val="24"/>
                <w:szCs w:val="28"/>
              </w:rPr>
            </w:pPr>
            <w:r>
              <w:rPr>
                <w:rFonts w:hint="eastAsia"/>
                <w:color w:val="000000"/>
                <w:spacing w:val="6"/>
                <w:sz w:val="24"/>
              </w:rPr>
              <w:t xml:space="preserve">2. </w:t>
            </w:r>
            <w:r>
              <w:rPr>
                <w:color w:val="000000"/>
                <w:spacing w:val="6"/>
                <w:sz w:val="24"/>
                <w:szCs w:val="28"/>
              </w:rPr>
              <w:t>采取的噪声</w:t>
            </w:r>
            <w:r>
              <w:rPr>
                <w:kern w:val="0"/>
                <w:sz w:val="24"/>
              </w:rPr>
              <w:t>防治</w:t>
            </w:r>
            <w:r>
              <w:rPr>
                <w:color w:val="000000"/>
                <w:spacing w:val="6"/>
                <w:sz w:val="24"/>
                <w:szCs w:val="28"/>
              </w:rPr>
              <w:t>措施</w:t>
            </w:r>
          </w:p>
          <w:p w14:paraId="09915C1E">
            <w:pPr>
              <w:spacing w:line="360" w:lineRule="auto"/>
              <w:ind w:firstLine="480" w:firstLineChars="200"/>
              <w:rPr>
                <w:color w:val="000000"/>
                <w:sz w:val="24"/>
                <w:szCs w:val="28"/>
              </w:rPr>
            </w:pPr>
            <w:r>
              <w:rPr>
                <w:color w:val="000000"/>
                <w:sz w:val="24"/>
                <w:szCs w:val="28"/>
              </w:rPr>
              <w:t>由于项目生产设备较多，为保证厂界噪声达标排放，降低对周边声环境质量影响，评价</w:t>
            </w:r>
            <w:r>
              <w:rPr>
                <w:rFonts w:hint="eastAsia"/>
                <w:color w:val="000000"/>
                <w:sz w:val="24"/>
                <w:szCs w:val="28"/>
              </w:rPr>
              <w:t>要求</w:t>
            </w:r>
            <w:r>
              <w:rPr>
                <w:color w:val="000000"/>
                <w:sz w:val="24"/>
                <w:szCs w:val="28"/>
              </w:rPr>
              <w:t>对企业采取以下噪声防治措施：</w:t>
            </w:r>
          </w:p>
          <w:p w14:paraId="2887ABB7">
            <w:pPr>
              <w:spacing w:line="360" w:lineRule="auto"/>
              <w:ind w:firstLine="480" w:firstLineChars="200"/>
              <w:rPr>
                <w:color w:val="000000"/>
                <w:sz w:val="24"/>
                <w:szCs w:val="28"/>
              </w:rPr>
            </w:pPr>
            <w:r>
              <w:rPr>
                <w:color w:val="000000"/>
                <w:sz w:val="24"/>
                <w:szCs w:val="28"/>
              </w:rPr>
              <w:t>（1）在设备选型时，要注意</w:t>
            </w:r>
            <w:r>
              <w:rPr>
                <w:kern w:val="0"/>
                <w:sz w:val="24"/>
              </w:rPr>
              <w:t>选用</w:t>
            </w:r>
            <w:r>
              <w:rPr>
                <w:color w:val="000000"/>
                <w:sz w:val="24"/>
                <w:szCs w:val="28"/>
              </w:rPr>
              <w:t>低噪声设备，以降低声源噪声；</w:t>
            </w:r>
          </w:p>
          <w:p w14:paraId="77D34386">
            <w:pPr>
              <w:spacing w:line="360" w:lineRule="auto"/>
              <w:ind w:firstLine="480" w:firstLineChars="200"/>
              <w:rPr>
                <w:color w:val="000000"/>
                <w:sz w:val="24"/>
                <w:szCs w:val="28"/>
              </w:rPr>
            </w:pPr>
            <w:r>
              <w:rPr>
                <w:color w:val="000000"/>
                <w:sz w:val="24"/>
                <w:szCs w:val="28"/>
              </w:rPr>
              <w:t>（2）从项目平面布置角度出发，建议项目主要噪声设备尽量放置于车间远离厂界的位置，利用距离衰减及车间墙壁的隔声作用，降低项目厂界噪声排放；</w:t>
            </w:r>
          </w:p>
          <w:p w14:paraId="7ED266C9">
            <w:pPr>
              <w:spacing w:line="360" w:lineRule="auto"/>
              <w:ind w:firstLine="480" w:firstLineChars="200"/>
              <w:rPr>
                <w:color w:val="000000"/>
                <w:sz w:val="24"/>
                <w:szCs w:val="28"/>
              </w:rPr>
            </w:pPr>
            <w:r>
              <w:rPr>
                <w:color w:val="000000"/>
                <w:sz w:val="24"/>
                <w:szCs w:val="28"/>
              </w:rPr>
              <w:t>（3）对泵等高噪声源设备安装减振垫；</w:t>
            </w:r>
          </w:p>
          <w:p w14:paraId="68BE17A4">
            <w:pPr>
              <w:spacing w:line="360" w:lineRule="auto"/>
              <w:ind w:firstLine="480" w:firstLineChars="200"/>
              <w:rPr>
                <w:color w:val="000000"/>
                <w:sz w:val="24"/>
                <w:szCs w:val="28"/>
              </w:rPr>
            </w:pPr>
            <w:r>
              <w:rPr>
                <w:color w:val="000000"/>
                <w:sz w:val="24"/>
                <w:szCs w:val="28"/>
              </w:rPr>
              <w:t>（4）加强厂区及厂界的绿化，绿化带可选择一些较好的隔声树种，如高大乔木落叶树与低矮的黄杨、松柏等构成绿化屏障来阻挡噪声。屏障隔声可衰减1～5dB(A)；</w:t>
            </w:r>
          </w:p>
          <w:p w14:paraId="5F9DDAB3">
            <w:pPr>
              <w:spacing w:line="360" w:lineRule="auto"/>
              <w:ind w:firstLine="480" w:firstLineChars="200"/>
              <w:rPr>
                <w:color w:val="000000"/>
                <w:sz w:val="24"/>
                <w:szCs w:val="28"/>
              </w:rPr>
            </w:pPr>
            <w:r>
              <w:rPr>
                <w:color w:val="000000"/>
                <w:sz w:val="24"/>
                <w:szCs w:val="28"/>
              </w:rPr>
              <w:t>（5）对进入厂区的车辆</w:t>
            </w:r>
            <w:r>
              <w:rPr>
                <w:kern w:val="0"/>
                <w:sz w:val="24"/>
              </w:rPr>
              <w:t>要求</w:t>
            </w:r>
            <w:r>
              <w:rPr>
                <w:color w:val="000000"/>
                <w:sz w:val="24"/>
                <w:szCs w:val="28"/>
              </w:rPr>
              <w:t>减速慢行，且禁止鸣笛。</w:t>
            </w:r>
          </w:p>
          <w:p w14:paraId="45DBE2FD">
            <w:pPr>
              <w:spacing w:line="360" w:lineRule="auto"/>
              <w:ind w:firstLine="480" w:firstLineChars="200"/>
              <w:rPr>
                <w:color w:val="000000"/>
                <w:sz w:val="24"/>
              </w:rPr>
            </w:pPr>
            <w:r>
              <w:rPr>
                <w:rFonts w:hint="eastAsia"/>
                <w:color w:val="000000"/>
                <w:sz w:val="24"/>
              </w:rPr>
              <w:t>3. 噪声</w:t>
            </w:r>
            <w:r>
              <w:rPr>
                <w:rFonts w:hint="eastAsia" w:ascii="宋体" w:hAnsi="宋体" w:cs="宋体"/>
                <w:kern w:val="0"/>
                <w:sz w:val="24"/>
              </w:rPr>
              <w:t>预测</w:t>
            </w:r>
          </w:p>
          <w:p w14:paraId="1F9FD536">
            <w:pPr>
              <w:spacing w:line="360" w:lineRule="auto"/>
              <w:ind w:firstLine="480" w:firstLineChars="200"/>
              <w:rPr>
                <w:color w:val="000000"/>
                <w:sz w:val="24"/>
              </w:rPr>
            </w:pPr>
            <w:r>
              <w:rPr>
                <w:rFonts w:hint="eastAsia"/>
                <w:color w:val="000000"/>
                <w:sz w:val="24"/>
              </w:rPr>
              <w:t>（1）噪声预测模式</w:t>
            </w:r>
          </w:p>
          <w:p w14:paraId="51C32F2A">
            <w:pPr>
              <w:spacing w:line="360" w:lineRule="auto"/>
              <w:ind w:firstLine="480" w:firstLineChars="200"/>
              <w:rPr>
                <w:color w:val="000000"/>
                <w:sz w:val="24"/>
              </w:rPr>
            </w:pPr>
            <w:r>
              <w:rPr>
                <w:rFonts w:hint="eastAsia"/>
                <w:color w:val="000000"/>
                <w:sz w:val="24"/>
              </w:rPr>
              <w:t>由于预测点距声源的距离远大于声源本身的尺寸，各噪声源设备辐射的噪声在户外传播可视为点声源。《环境影响评价技术导则</w:t>
            </w:r>
            <w:r>
              <w:rPr>
                <w:color w:val="000000"/>
                <w:sz w:val="24"/>
              </w:rPr>
              <w:t>∙</w:t>
            </w:r>
            <w:r>
              <w:rPr>
                <w:rFonts w:hint="eastAsia"/>
                <w:color w:val="000000"/>
                <w:sz w:val="24"/>
              </w:rPr>
              <w:t>声环境》（HJ 2.4-20</w:t>
            </w:r>
            <w:r>
              <w:rPr>
                <w:color w:val="000000"/>
                <w:sz w:val="24"/>
              </w:rPr>
              <w:t>21</w:t>
            </w:r>
            <w:r>
              <w:rPr>
                <w:rFonts w:hint="eastAsia"/>
                <w:color w:val="000000"/>
                <w:sz w:val="24"/>
              </w:rPr>
              <w:t>）的技术要求，本次评价采取导则上推荐模式。</w:t>
            </w:r>
          </w:p>
          <w:p w14:paraId="47F54117">
            <w:pPr>
              <w:pStyle w:val="38"/>
              <w:spacing w:after="0" w:line="360" w:lineRule="auto"/>
              <w:ind w:firstLine="480" w:firstLineChars="200"/>
              <w:rPr>
                <w:sz w:val="24"/>
              </w:rPr>
            </w:pPr>
            <w:r>
              <w:rPr>
                <w:rFonts w:hint="eastAsia"/>
                <w:sz w:val="24"/>
              </w:rPr>
              <w:t>模式如下：</w:t>
            </w:r>
          </w:p>
          <w:p w14:paraId="26CED93D">
            <w:pPr>
              <w:pStyle w:val="38"/>
              <w:spacing w:after="0" w:line="360" w:lineRule="auto"/>
              <w:ind w:firstLine="200" w:firstLineChars="0"/>
              <w:rPr>
                <w:sz w:val="24"/>
              </w:rPr>
            </w:pPr>
            <w:r>
              <w:rPr>
                <w:rFonts w:hint="eastAsia"/>
                <w:sz w:val="24"/>
              </w:rPr>
              <w:t>L</w:t>
            </w:r>
            <w:r>
              <w:rPr>
                <w:rFonts w:hint="eastAsia"/>
                <w:sz w:val="24"/>
                <w:vertAlign w:val="subscript"/>
              </w:rPr>
              <w:t>p(r)</w:t>
            </w:r>
            <w:r>
              <w:rPr>
                <w:rFonts w:hint="eastAsia"/>
                <w:sz w:val="24"/>
              </w:rPr>
              <w:t>＝L</w:t>
            </w:r>
            <w:r>
              <w:rPr>
                <w:rFonts w:hint="eastAsia"/>
                <w:sz w:val="24"/>
                <w:vertAlign w:val="subscript"/>
              </w:rPr>
              <w:t>p(r0)</w:t>
            </w:r>
            <w:r>
              <w:rPr>
                <w:rFonts w:hint="eastAsia"/>
                <w:sz w:val="24"/>
              </w:rPr>
              <w:t>+D</w:t>
            </w:r>
            <w:r>
              <w:rPr>
                <w:rFonts w:hint="eastAsia"/>
                <w:sz w:val="24"/>
                <w:vertAlign w:val="subscript"/>
              </w:rPr>
              <w:t>C</w:t>
            </w:r>
            <w:r>
              <w:rPr>
                <w:rFonts w:hint="eastAsia"/>
                <w:sz w:val="24"/>
              </w:rPr>
              <w:t>－(A</w:t>
            </w:r>
            <w:r>
              <w:rPr>
                <w:rFonts w:hint="eastAsia"/>
                <w:sz w:val="24"/>
                <w:vertAlign w:val="subscript"/>
              </w:rPr>
              <w:t>div</w:t>
            </w:r>
            <w:r>
              <w:rPr>
                <w:rFonts w:hint="eastAsia"/>
                <w:sz w:val="24"/>
              </w:rPr>
              <w:t>＋A</w:t>
            </w:r>
            <w:r>
              <w:rPr>
                <w:rFonts w:hint="eastAsia"/>
                <w:sz w:val="24"/>
                <w:vertAlign w:val="subscript"/>
              </w:rPr>
              <w:t>atm</w:t>
            </w:r>
            <w:r>
              <w:rPr>
                <w:rFonts w:hint="eastAsia"/>
                <w:sz w:val="24"/>
              </w:rPr>
              <w:t>＋A</w:t>
            </w:r>
            <w:r>
              <w:rPr>
                <w:rFonts w:hint="eastAsia"/>
                <w:sz w:val="24"/>
                <w:vertAlign w:val="subscript"/>
              </w:rPr>
              <w:t>gr</w:t>
            </w:r>
            <w:r>
              <w:rPr>
                <w:rFonts w:hint="eastAsia"/>
                <w:sz w:val="24"/>
              </w:rPr>
              <w:t>＋A</w:t>
            </w:r>
            <w:r>
              <w:rPr>
                <w:rFonts w:hint="eastAsia"/>
                <w:sz w:val="24"/>
                <w:vertAlign w:val="subscript"/>
              </w:rPr>
              <w:t>bar</w:t>
            </w:r>
            <w:r>
              <w:rPr>
                <w:rFonts w:hint="eastAsia"/>
                <w:sz w:val="24"/>
              </w:rPr>
              <w:t>＋A</w:t>
            </w:r>
            <w:r>
              <w:rPr>
                <w:rFonts w:hint="eastAsia"/>
                <w:sz w:val="24"/>
                <w:vertAlign w:val="subscript"/>
              </w:rPr>
              <w:t>misc</w:t>
            </w:r>
            <w:r>
              <w:rPr>
                <w:rFonts w:hint="eastAsia"/>
                <w:sz w:val="24"/>
              </w:rPr>
              <w:t>)</w:t>
            </w:r>
          </w:p>
          <w:p w14:paraId="6870B061">
            <w:pPr>
              <w:pStyle w:val="38"/>
              <w:spacing w:after="0" w:line="360" w:lineRule="auto"/>
              <w:ind w:firstLine="480" w:firstLineChars="200"/>
              <w:rPr>
                <w:sz w:val="24"/>
              </w:rPr>
            </w:pPr>
            <w:r>
              <w:rPr>
                <w:rFonts w:hint="eastAsia"/>
                <w:sz w:val="24"/>
              </w:rPr>
              <w:t>式中：L</w:t>
            </w:r>
            <w:r>
              <w:rPr>
                <w:rFonts w:hint="eastAsia"/>
                <w:sz w:val="24"/>
                <w:vertAlign w:val="subscript"/>
              </w:rPr>
              <w:t>p(r)</w:t>
            </w:r>
            <w:r>
              <w:rPr>
                <w:rFonts w:hint="eastAsia"/>
                <w:sz w:val="24"/>
              </w:rPr>
              <w:t>——预测点处声压级，dB；</w:t>
            </w:r>
          </w:p>
          <w:p w14:paraId="462B746C">
            <w:pPr>
              <w:pStyle w:val="38"/>
              <w:spacing w:after="0" w:line="360" w:lineRule="auto"/>
              <w:ind w:firstLine="480" w:firstLineChars="200"/>
              <w:rPr>
                <w:sz w:val="24"/>
              </w:rPr>
            </w:pPr>
            <w:r>
              <w:rPr>
                <w:rFonts w:hint="eastAsia"/>
                <w:sz w:val="24"/>
              </w:rPr>
              <w:t>L</w:t>
            </w:r>
            <w:r>
              <w:rPr>
                <w:rFonts w:hint="eastAsia"/>
                <w:sz w:val="24"/>
                <w:vertAlign w:val="subscript"/>
              </w:rPr>
              <w:t>p(r0)</w:t>
            </w:r>
            <w:r>
              <w:rPr>
                <w:rFonts w:hint="eastAsia"/>
                <w:sz w:val="24"/>
              </w:rPr>
              <w:t>——参考位置r</w:t>
            </w:r>
            <w:r>
              <w:rPr>
                <w:rFonts w:hint="eastAsia"/>
                <w:sz w:val="24"/>
                <w:vertAlign w:val="subscript"/>
              </w:rPr>
              <w:t>0</w:t>
            </w:r>
            <w:r>
              <w:rPr>
                <w:rFonts w:hint="eastAsia"/>
                <w:sz w:val="24"/>
              </w:rPr>
              <w:t>处的声压级，dB；</w:t>
            </w:r>
          </w:p>
          <w:p w14:paraId="0C1E1E64">
            <w:pPr>
              <w:pStyle w:val="38"/>
              <w:spacing w:after="0" w:line="360" w:lineRule="auto"/>
              <w:ind w:firstLine="480" w:firstLineChars="200"/>
              <w:rPr>
                <w:sz w:val="24"/>
              </w:rPr>
            </w:pPr>
            <w:r>
              <w:rPr>
                <w:rFonts w:hint="eastAsia"/>
                <w:sz w:val="24"/>
              </w:rPr>
              <w:t>D</w:t>
            </w:r>
            <w:r>
              <w:rPr>
                <w:rFonts w:hint="eastAsia"/>
                <w:sz w:val="24"/>
                <w:vertAlign w:val="subscript"/>
              </w:rPr>
              <w:t>C</w:t>
            </w:r>
            <w:r>
              <w:rPr>
                <w:rFonts w:hint="eastAsia"/>
                <w:sz w:val="24"/>
              </w:rPr>
              <w:t>——指向性校正，它描述点声源的等效连续声压级与产生声功率级Lw的全向点声源在规定方向的声级的偏差程度，dB；</w:t>
            </w:r>
          </w:p>
          <w:p w14:paraId="7A809CEB">
            <w:pPr>
              <w:pStyle w:val="38"/>
              <w:spacing w:after="0" w:line="360" w:lineRule="auto"/>
              <w:ind w:firstLine="480" w:firstLineChars="200"/>
              <w:rPr>
                <w:sz w:val="24"/>
              </w:rPr>
            </w:pPr>
            <w:r>
              <w:rPr>
                <w:rFonts w:hint="eastAsia"/>
                <w:sz w:val="24"/>
              </w:rPr>
              <w:t>A</w:t>
            </w:r>
            <w:r>
              <w:rPr>
                <w:rFonts w:hint="eastAsia"/>
                <w:sz w:val="24"/>
                <w:vertAlign w:val="subscript"/>
              </w:rPr>
              <w:t>div</w:t>
            </w:r>
            <w:r>
              <w:rPr>
                <w:rFonts w:hint="eastAsia"/>
                <w:sz w:val="24"/>
              </w:rPr>
              <w:t>——几何发散引起的衰减，dB；</w:t>
            </w:r>
          </w:p>
          <w:p w14:paraId="3310E539">
            <w:pPr>
              <w:pStyle w:val="38"/>
              <w:spacing w:after="0" w:line="360" w:lineRule="auto"/>
              <w:ind w:firstLine="480" w:firstLineChars="200"/>
              <w:rPr>
                <w:sz w:val="24"/>
              </w:rPr>
            </w:pPr>
            <w:r>
              <w:rPr>
                <w:rFonts w:hint="eastAsia"/>
                <w:sz w:val="24"/>
              </w:rPr>
              <w:t>A</w:t>
            </w:r>
            <w:r>
              <w:rPr>
                <w:rFonts w:hint="eastAsia"/>
                <w:sz w:val="24"/>
                <w:vertAlign w:val="subscript"/>
              </w:rPr>
              <w:t>atm</w:t>
            </w:r>
            <w:r>
              <w:rPr>
                <w:rFonts w:hint="eastAsia"/>
                <w:sz w:val="24"/>
              </w:rPr>
              <w:t>——大气吸收引起的衰减，dB；</w:t>
            </w:r>
          </w:p>
          <w:p w14:paraId="2A368D4E">
            <w:pPr>
              <w:pStyle w:val="38"/>
              <w:spacing w:after="0" w:line="360" w:lineRule="auto"/>
              <w:ind w:firstLine="480" w:firstLineChars="200"/>
              <w:rPr>
                <w:sz w:val="24"/>
              </w:rPr>
            </w:pPr>
            <w:r>
              <w:rPr>
                <w:rFonts w:hint="eastAsia"/>
                <w:sz w:val="24"/>
              </w:rPr>
              <w:t>A</w:t>
            </w:r>
            <w:r>
              <w:rPr>
                <w:rFonts w:hint="eastAsia"/>
                <w:sz w:val="24"/>
                <w:vertAlign w:val="subscript"/>
              </w:rPr>
              <w:t>gr</w:t>
            </w:r>
            <w:r>
              <w:rPr>
                <w:rFonts w:hint="eastAsia"/>
                <w:sz w:val="24"/>
              </w:rPr>
              <w:t>——地面效应引起的衰减，dB；</w:t>
            </w:r>
          </w:p>
          <w:p w14:paraId="09D7BBC3">
            <w:pPr>
              <w:pStyle w:val="38"/>
              <w:spacing w:after="0" w:line="360" w:lineRule="auto"/>
              <w:ind w:firstLine="480" w:firstLineChars="200"/>
              <w:rPr>
                <w:sz w:val="24"/>
              </w:rPr>
            </w:pPr>
            <w:r>
              <w:rPr>
                <w:rFonts w:hint="eastAsia"/>
                <w:sz w:val="24"/>
              </w:rPr>
              <w:t>A</w:t>
            </w:r>
            <w:r>
              <w:rPr>
                <w:rFonts w:hint="eastAsia"/>
                <w:sz w:val="24"/>
                <w:vertAlign w:val="subscript"/>
              </w:rPr>
              <w:t>bar</w:t>
            </w:r>
            <w:r>
              <w:rPr>
                <w:rFonts w:hint="eastAsia"/>
                <w:sz w:val="24"/>
              </w:rPr>
              <w:t>——障碍物屏蔽引起的衰减，dB；</w:t>
            </w:r>
          </w:p>
          <w:p w14:paraId="344AD3D3">
            <w:pPr>
              <w:spacing w:line="360" w:lineRule="auto"/>
              <w:ind w:firstLine="480" w:firstLineChars="200"/>
              <w:rPr>
                <w:kern w:val="0"/>
                <w:sz w:val="24"/>
              </w:rPr>
            </w:pPr>
            <w:r>
              <w:rPr>
                <w:rFonts w:hint="eastAsia"/>
                <w:sz w:val="24"/>
              </w:rPr>
              <w:t>A</w:t>
            </w:r>
            <w:r>
              <w:rPr>
                <w:rFonts w:hint="eastAsia"/>
                <w:sz w:val="24"/>
                <w:vertAlign w:val="subscript"/>
              </w:rPr>
              <w:t>misc</w:t>
            </w:r>
            <w:r>
              <w:rPr>
                <w:rFonts w:hint="eastAsia"/>
                <w:sz w:val="24"/>
              </w:rPr>
              <w:t>——其他多方面效应引起的衰减，dB。</w:t>
            </w:r>
          </w:p>
        </w:tc>
      </w:tr>
    </w:tbl>
    <w:p w14:paraId="7972F78A">
      <w:pPr>
        <w:pStyle w:val="34"/>
        <w:jc w:val="center"/>
        <w:outlineLvl w:val="0"/>
        <w:rPr>
          <w:rFonts w:hint="eastAsia" w:ascii="黑体" w:hAnsi="黑体" w:eastAsia="黑体"/>
          <w:snapToGrid w:val="0"/>
          <w:sz w:val="30"/>
          <w:szCs w:val="30"/>
        </w:rPr>
        <w:sectPr>
          <w:pgSz w:w="11906" w:h="16838"/>
          <w:pgMar w:top="1440" w:right="1800" w:bottom="1440" w:left="1800" w:header="851" w:footer="992" w:gutter="0"/>
          <w:pgNumType w:fmt="numberInDash"/>
          <w:cols w:space="720" w:num="1"/>
          <w:docGrid w:type="lines" w:linePitch="312" w:charSpace="0"/>
        </w:sect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
        <w:gridCol w:w="13924"/>
      </w:tblGrid>
      <w:tr w14:paraId="16F1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dxa"/>
          </w:tcPr>
          <w:p w14:paraId="1CEE77E8">
            <w:pPr>
              <w:pStyle w:val="34"/>
              <w:jc w:val="center"/>
              <w:outlineLvl w:val="0"/>
              <w:rPr>
                <w:rFonts w:hint="eastAsia" w:ascii="黑体" w:hAnsi="黑体" w:eastAsia="黑体"/>
                <w:snapToGrid w:val="0"/>
                <w:sz w:val="30"/>
                <w:szCs w:val="30"/>
              </w:rPr>
            </w:pPr>
          </w:p>
        </w:tc>
        <w:tc>
          <w:tcPr>
            <w:tcW w:w="13924" w:type="dxa"/>
          </w:tcPr>
          <w:p w14:paraId="037AD1EE">
            <w:pPr>
              <w:spacing w:before="156" w:beforeLines="50" w:line="360" w:lineRule="auto"/>
              <w:jc w:val="center"/>
              <w:rPr>
                <w:b/>
                <w:bCs/>
                <w:szCs w:val="21"/>
              </w:rPr>
            </w:pPr>
            <w:r>
              <w:rPr>
                <w:b/>
                <w:bCs/>
                <w:szCs w:val="21"/>
              </w:rPr>
              <w:t>表4-</w:t>
            </w:r>
            <w:r>
              <w:rPr>
                <w:rFonts w:hint="eastAsia"/>
                <w:b/>
                <w:bCs/>
                <w:szCs w:val="21"/>
              </w:rPr>
              <w:t>7</w:t>
            </w:r>
            <w:r>
              <w:rPr>
                <w:b/>
                <w:bCs/>
                <w:szCs w:val="21"/>
              </w:rPr>
              <w:t xml:space="preserve"> 运营期主要噪声源及噪声级</w:t>
            </w:r>
            <w:r>
              <w:rPr>
                <w:rFonts w:hint="eastAsia"/>
                <w:b/>
                <w:bCs/>
                <w:szCs w:val="21"/>
              </w:rPr>
              <w:t>（室内）</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32"/>
              <w:gridCol w:w="432"/>
              <w:gridCol w:w="1313"/>
              <w:gridCol w:w="1130"/>
              <w:gridCol w:w="1417"/>
              <w:gridCol w:w="812"/>
              <w:gridCol w:w="558"/>
              <w:gridCol w:w="602"/>
              <w:gridCol w:w="558"/>
              <w:gridCol w:w="1111"/>
              <w:gridCol w:w="1551"/>
              <w:gridCol w:w="1521"/>
              <w:gridCol w:w="892"/>
              <w:gridCol w:w="914"/>
              <w:gridCol w:w="435"/>
            </w:tblGrid>
            <w:tr w14:paraId="68D3B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 w:type="pct"/>
                  <w:vMerge w:val="restart"/>
                  <w:vAlign w:val="center"/>
                </w:tcPr>
                <w:p w14:paraId="19D4585A">
                  <w:pPr>
                    <w:jc w:val="center"/>
                    <w:rPr>
                      <w:szCs w:val="21"/>
                    </w:rPr>
                  </w:pPr>
                  <w:r>
                    <w:rPr>
                      <w:szCs w:val="21"/>
                    </w:rPr>
                    <w:t>序号</w:t>
                  </w:r>
                </w:p>
              </w:tc>
              <w:tc>
                <w:tcPr>
                  <w:tcW w:w="158" w:type="pct"/>
                  <w:vMerge w:val="restart"/>
                  <w:vAlign w:val="center"/>
                </w:tcPr>
                <w:p w14:paraId="024E33B7">
                  <w:pPr>
                    <w:jc w:val="center"/>
                    <w:rPr>
                      <w:szCs w:val="21"/>
                    </w:rPr>
                  </w:pPr>
                  <w:r>
                    <w:rPr>
                      <w:rFonts w:hint="eastAsia"/>
                      <w:szCs w:val="21"/>
                    </w:rPr>
                    <w:t>建筑物名称</w:t>
                  </w:r>
                </w:p>
              </w:tc>
              <w:tc>
                <w:tcPr>
                  <w:tcW w:w="480" w:type="pct"/>
                  <w:vMerge w:val="restart"/>
                  <w:vAlign w:val="center"/>
                </w:tcPr>
                <w:p w14:paraId="0D229DBE">
                  <w:pPr>
                    <w:jc w:val="center"/>
                    <w:rPr>
                      <w:szCs w:val="21"/>
                    </w:rPr>
                  </w:pPr>
                  <w:r>
                    <w:rPr>
                      <w:rFonts w:hint="eastAsia"/>
                      <w:szCs w:val="21"/>
                    </w:rPr>
                    <w:t>声源名称</w:t>
                  </w:r>
                </w:p>
              </w:tc>
              <w:tc>
                <w:tcPr>
                  <w:tcW w:w="413" w:type="pct"/>
                  <w:vMerge w:val="restart"/>
                  <w:vAlign w:val="center"/>
                </w:tcPr>
                <w:p w14:paraId="040A4697">
                  <w:pPr>
                    <w:jc w:val="center"/>
                    <w:rPr>
                      <w:szCs w:val="21"/>
                    </w:rPr>
                  </w:pPr>
                  <w:r>
                    <w:rPr>
                      <w:rFonts w:hint="eastAsia"/>
                      <w:szCs w:val="21"/>
                    </w:rPr>
                    <w:t>型号</w:t>
                  </w:r>
                </w:p>
              </w:tc>
              <w:tc>
                <w:tcPr>
                  <w:tcW w:w="518" w:type="pct"/>
                  <w:vAlign w:val="center"/>
                </w:tcPr>
                <w:p w14:paraId="1942BAAF">
                  <w:pPr>
                    <w:jc w:val="center"/>
                    <w:rPr>
                      <w:szCs w:val="21"/>
                    </w:rPr>
                  </w:pPr>
                  <w:r>
                    <w:rPr>
                      <w:rFonts w:hint="eastAsia"/>
                      <w:szCs w:val="21"/>
                    </w:rPr>
                    <w:t>声源源强</w:t>
                  </w:r>
                </w:p>
              </w:tc>
              <w:tc>
                <w:tcPr>
                  <w:tcW w:w="297" w:type="pct"/>
                  <w:vMerge w:val="restart"/>
                  <w:vAlign w:val="center"/>
                </w:tcPr>
                <w:p w14:paraId="300079C2">
                  <w:pPr>
                    <w:jc w:val="center"/>
                    <w:rPr>
                      <w:szCs w:val="21"/>
                    </w:rPr>
                  </w:pPr>
                  <w:r>
                    <w:rPr>
                      <w:rFonts w:hint="eastAsia"/>
                      <w:szCs w:val="21"/>
                    </w:rPr>
                    <w:t>声源控制措施</w:t>
                  </w:r>
                </w:p>
              </w:tc>
              <w:tc>
                <w:tcPr>
                  <w:tcW w:w="628" w:type="pct"/>
                  <w:gridSpan w:val="3"/>
                  <w:vAlign w:val="center"/>
                </w:tcPr>
                <w:p w14:paraId="1D4BE48A">
                  <w:pPr>
                    <w:jc w:val="center"/>
                    <w:rPr>
                      <w:szCs w:val="21"/>
                    </w:rPr>
                  </w:pPr>
                  <w:r>
                    <w:rPr>
                      <w:rFonts w:hint="eastAsia"/>
                      <w:szCs w:val="21"/>
                    </w:rPr>
                    <w:t>空间相对位置</w:t>
                  </w:r>
                </w:p>
              </w:tc>
              <w:tc>
                <w:tcPr>
                  <w:tcW w:w="406" w:type="pct"/>
                  <w:vMerge w:val="restart"/>
                  <w:vAlign w:val="center"/>
                </w:tcPr>
                <w:p w14:paraId="038B4C8A">
                  <w:pPr>
                    <w:jc w:val="center"/>
                    <w:rPr>
                      <w:szCs w:val="21"/>
                    </w:rPr>
                  </w:pPr>
                  <w:r>
                    <w:rPr>
                      <w:rFonts w:hint="eastAsia"/>
                      <w:szCs w:val="21"/>
                    </w:rPr>
                    <w:t>距室内边界距离/m</w:t>
                  </w:r>
                </w:p>
              </w:tc>
              <w:tc>
                <w:tcPr>
                  <w:tcW w:w="567" w:type="pct"/>
                  <w:vMerge w:val="restart"/>
                  <w:vAlign w:val="center"/>
                </w:tcPr>
                <w:p w14:paraId="12040BC6">
                  <w:pPr>
                    <w:jc w:val="center"/>
                    <w:rPr>
                      <w:szCs w:val="21"/>
                    </w:rPr>
                  </w:pPr>
                  <w:r>
                    <w:rPr>
                      <w:rFonts w:hint="eastAsia"/>
                      <w:szCs w:val="21"/>
                    </w:rPr>
                    <w:t>室内边界声级/d</w:t>
                  </w:r>
                  <w:r>
                    <w:rPr>
                      <w:szCs w:val="21"/>
                    </w:rPr>
                    <w:t>B</w:t>
                  </w:r>
                  <w:r>
                    <w:rPr>
                      <w:rFonts w:hint="eastAsia"/>
                      <w:szCs w:val="21"/>
                    </w:rPr>
                    <w:t>（A）</w:t>
                  </w:r>
                </w:p>
              </w:tc>
              <w:tc>
                <w:tcPr>
                  <w:tcW w:w="556" w:type="pct"/>
                  <w:vMerge w:val="restart"/>
                  <w:vAlign w:val="center"/>
                </w:tcPr>
                <w:p w14:paraId="1A9305B2">
                  <w:pPr>
                    <w:jc w:val="center"/>
                    <w:rPr>
                      <w:szCs w:val="21"/>
                    </w:rPr>
                  </w:pPr>
                  <w:r>
                    <w:rPr>
                      <w:rFonts w:hint="eastAsia"/>
                      <w:szCs w:val="21"/>
                    </w:rPr>
                    <w:t>运行时段</w:t>
                  </w:r>
                </w:p>
              </w:tc>
              <w:tc>
                <w:tcPr>
                  <w:tcW w:w="326" w:type="pct"/>
                  <w:vMerge w:val="restart"/>
                  <w:vAlign w:val="center"/>
                </w:tcPr>
                <w:p w14:paraId="154E45F9">
                  <w:pPr>
                    <w:jc w:val="center"/>
                    <w:rPr>
                      <w:szCs w:val="21"/>
                    </w:rPr>
                  </w:pPr>
                  <w:r>
                    <w:rPr>
                      <w:rFonts w:hint="eastAsia"/>
                      <w:szCs w:val="21"/>
                    </w:rPr>
                    <w:t>建筑物插入损失/d</w:t>
                  </w:r>
                  <w:r>
                    <w:rPr>
                      <w:szCs w:val="21"/>
                    </w:rPr>
                    <w:t>B</w:t>
                  </w:r>
                  <w:r>
                    <w:rPr>
                      <w:rFonts w:hint="eastAsia"/>
                      <w:szCs w:val="21"/>
                    </w:rPr>
                    <w:t>（A）</w:t>
                  </w:r>
                </w:p>
              </w:tc>
              <w:tc>
                <w:tcPr>
                  <w:tcW w:w="492" w:type="pct"/>
                  <w:gridSpan w:val="2"/>
                  <w:vAlign w:val="center"/>
                </w:tcPr>
                <w:p w14:paraId="76DF1FCB">
                  <w:pPr>
                    <w:jc w:val="center"/>
                    <w:rPr>
                      <w:szCs w:val="21"/>
                    </w:rPr>
                  </w:pPr>
                  <w:r>
                    <w:rPr>
                      <w:rFonts w:hint="eastAsia"/>
                      <w:szCs w:val="21"/>
                    </w:rPr>
                    <w:t>建筑物外噪声</w:t>
                  </w:r>
                </w:p>
              </w:tc>
            </w:tr>
            <w:tr w14:paraId="70F42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 w:type="pct"/>
                  <w:vMerge w:val="continue"/>
                  <w:vAlign w:val="center"/>
                </w:tcPr>
                <w:p w14:paraId="1CA369C0">
                  <w:pPr>
                    <w:jc w:val="center"/>
                    <w:rPr>
                      <w:szCs w:val="21"/>
                    </w:rPr>
                  </w:pPr>
                </w:p>
              </w:tc>
              <w:tc>
                <w:tcPr>
                  <w:tcW w:w="158" w:type="pct"/>
                  <w:vMerge w:val="continue"/>
                  <w:vAlign w:val="center"/>
                </w:tcPr>
                <w:p w14:paraId="441CA98A">
                  <w:pPr>
                    <w:jc w:val="center"/>
                    <w:rPr>
                      <w:szCs w:val="21"/>
                    </w:rPr>
                  </w:pPr>
                </w:p>
              </w:tc>
              <w:tc>
                <w:tcPr>
                  <w:tcW w:w="480" w:type="pct"/>
                  <w:vMerge w:val="continue"/>
                  <w:vAlign w:val="center"/>
                </w:tcPr>
                <w:p w14:paraId="1AA0F537">
                  <w:pPr>
                    <w:jc w:val="center"/>
                    <w:rPr>
                      <w:szCs w:val="21"/>
                    </w:rPr>
                  </w:pPr>
                </w:p>
              </w:tc>
              <w:tc>
                <w:tcPr>
                  <w:tcW w:w="413" w:type="pct"/>
                  <w:vMerge w:val="continue"/>
                  <w:vAlign w:val="center"/>
                </w:tcPr>
                <w:p w14:paraId="2BEC0FE8">
                  <w:pPr>
                    <w:jc w:val="center"/>
                    <w:rPr>
                      <w:szCs w:val="21"/>
                    </w:rPr>
                  </w:pPr>
                </w:p>
              </w:tc>
              <w:tc>
                <w:tcPr>
                  <w:tcW w:w="518" w:type="pct"/>
                  <w:vAlign w:val="center"/>
                </w:tcPr>
                <w:p w14:paraId="1A2AF15A">
                  <w:pPr>
                    <w:jc w:val="center"/>
                    <w:rPr>
                      <w:szCs w:val="21"/>
                    </w:rPr>
                  </w:pPr>
                  <w:r>
                    <w:rPr>
                      <w:rFonts w:hint="eastAsia"/>
                      <w:szCs w:val="21"/>
                    </w:rPr>
                    <w:t>（声压级/距声源距离）</w:t>
                  </w:r>
                </w:p>
                <w:p w14:paraId="7C79DAC4">
                  <w:pPr>
                    <w:jc w:val="center"/>
                    <w:rPr>
                      <w:szCs w:val="21"/>
                    </w:rPr>
                  </w:pPr>
                  <w:r>
                    <w:rPr>
                      <w:rFonts w:hint="eastAsia"/>
                      <w:szCs w:val="21"/>
                    </w:rPr>
                    <w:t>（d</w:t>
                  </w:r>
                  <w:r>
                    <w:rPr>
                      <w:szCs w:val="21"/>
                    </w:rPr>
                    <w:t>B</w:t>
                  </w:r>
                  <w:r>
                    <w:rPr>
                      <w:rFonts w:hint="eastAsia"/>
                      <w:szCs w:val="21"/>
                    </w:rPr>
                    <w:t>(A)/m）</w:t>
                  </w:r>
                </w:p>
              </w:tc>
              <w:tc>
                <w:tcPr>
                  <w:tcW w:w="297" w:type="pct"/>
                  <w:vMerge w:val="continue"/>
                  <w:vAlign w:val="center"/>
                </w:tcPr>
                <w:p w14:paraId="69CA7F92">
                  <w:pPr>
                    <w:jc w:val="center"/>
                    <w:rPr>
                      <w:szCs w:val="21"/>
                    </w:rPr>
                  </w:pPr>
                </w:p>
              </w:tc>
              <w:tc>
                <w:tcPr>
                  <w:tcW w:w="204" w:type="pct"/>
                  <w:vAlign w:val="center"/>
                </w:tcPr>
                <w:p w14:paraId="188CF34F">
                  <w:pPr>
                    <w:jc w:val="center"/>
                    <w:rPr>
                      <w:szCs w:val="21"/>
                    </w:rPr>
                  </w:pPr>
                  <w:r>
                    <w:rPr>
                      <w:rFonts w:hint="eastAsia"/>
                      <w:szCs w:val="21"/>
                    </w:rPr>
                    <w:t>X</w:t>
                  </w:r>
                </w:p>
              </w:tc>
              <w:tc>
                <w:tcPr>
                  <w:tcW w:w="220" w:type="pct"/>
                  <w:vAlign w:val="center"/>
                </w:tcPr>
                <w:p w14:paraId="725EED6C">
                  <w:pPr>
                    <w:jc w:val="center"/>
                    <w:rPr>
                      <w:szCs w:val="21"/>
                    </w:rPr>
                  </w:pPr>
                  <w:r>
                    <w:rPr>
                      <w:rFonts w:hint="eastAsia"/>
                      <w:szCs w:val="21"/>
                    </w:rPr>
                    <w:t>Y</w:t>
                  </w:r>
                </w:p>
              </w:tc>
              <w:tc>
                <w:tcPr>
                  <w:tcW w:w="204" w:type="pct"/>
                  <w:vAlign w:val="center"/>
                </w:tcPr>
                <w:p w14:paraId="3EC72C44">
                  <w:pPr>
                    <w:jc w:val="center"/>
                    <w:rPr>
                      <w:szCs w:val="21"/>
                    </w:rPr>
                  </w:pPr>
                  <w:r>
                    <w:rPr>
                      <w:rFonts w:hint="eastAsia"/>
                      <w:szCs w:val="21"/>
                    </w:rPr>
                    <w:t>Z</w:t>
                  </w:r>
                </w:p>
              </w:tc>
              <w:tc>
                <w:tcPr>
                  <w:tcW w:w="406" w:type="pct"/>
                  <w:vMerge w:val="continue"/>
                  <w:vAlign w:val="center"/>
                </w:tcPr>
                <w:p w14:paraId="79F9F30F">
                  <w:pPr>
                    <w:jc w:val="center"/>
                    <w:rPr>
                      <w:szCs w:val="21"/>
                    </w:rPr>
                  </w:pPr>
                </w:p>
              </w:tc>
              <w:tc>
                <w:tcPr>
                  <w:tcW w:w="567" w:type="pct"/>
                  <w:vMerge w:val="continue"/>
                  <w:vAlign w:val="center"/>
                </w:tcPr>
                <w:p w14:paraId="04EE75CC">
                  <w:pPr>
                    <w:jc w:val="center"/>
                    <w:rPr>
                      <w:szCs w:val="21"/>
                    </w:rPr>
                  </w:pPr>
                </w:p>
              </w:tc>
              <w:tc>
                <w:tcPr>
                  <w:tcW w:w="556" w:type="pct"/>
                  <w:vMerge w:val="continue"/>
                  <w:vAlign w:val="center"/>
                </w:tcPr>
                <w:p w14:paraId="4B29C396">
                  <w:pPr>
                    <w:jc w:val="center"/>
                    <w:rPr>
                      <w:szCs w:val="21"/>
                    </w:rPr>
                  </w:pPr>
                </w:p>
              </w:tc>
              <w:tc>
                <w:tcPr>
                  <w:tcW w:w="326" w:type="pct"/>
                  <w:vMerge w:val="continue"/>
                  <w:vAlign w:val="center"/>
                </w:tcPr>
                <w:p w14:paraId="1C413F57">
                  <w:pPr>
                    <w:jc w:val="center"/>
                    <w:rPr>
                      <w:szCs w:val="21"/>
                    </w:rPr>
                  </w:pPr>
                </w:p>
              </w:tc>
              <w:tc>
                <w:tcPr>
                  <w:tcW w:w="334" w:type="pct"/>
                  <w:vAlign w:val="center"/>
                </w:tcPr>
                <w:p w14:paraId="0E27AB06">
                  <w:pPr>
                    <w:jc w:val="center"/>
                    <w:rPr>
                      <w:szCs w:val="21"/>
                    </w:rPr>
                  </w:pPr>
                  <w:r>
                    <w:rPr>
                      <w:rFonts w:hint="eastAsia"/>
                      <w:szCs w:val="21"/>
                    </w:rPr>
                    <w:t>声压级/d</w:t>
                  </w:r>
                  <w:r>
                    <w:rPr>
                      <w:szCs w:val="21"/>
                    </w:rPr>
                    <w:t>B</w:t>
                  </w:r>
                  <w:r>
                    <w:rPr>
                      <w:rFonts w:hint="eastAsia"/>
                      <w:szCs w:val="21"/>
                    </w:rPr>
                    <w:t>（A）</w:t>
                  </w:r>
                </w:p>
              </w:tc>
              <w:tc>
                <w:tcPr>
                  <w:tcW w:w="158" w:type="pct"/>
                  <w:vAlign w:val="center"/>
                </w:tcPr>
                <w:p w14:paraId="22D8C46C">
                  <w:pPr>
                    <w:jc w:val="center"/>
                    <w:rPr>
                      <w:szCs w:val="21"/>
                    </w:rPr>
                  </w:pPr>
                  <w:r>
                    <w:rPr>
                      <w:rFonts w:hint="eastAsia"/>
                      <w:szCs w:val="21"/>
                    </w:rPr>
                    <w:t>建筑物外距离</w:t>
                  </w:r>
                </w:p>
              </w:tc>
            </w:tr>
            <w:tr w14:paraId="24805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158" w:type="pct"/>
                  <w:vAlign w:val="center"/>
                </w:tcPr>
                <w:p w14:paraId="60D8819D">
                  <w:pPr>
                    <w:jc w:val="center"/>
                    <w:rPr>
                      <w:szCs w:val="21"/>
                    </w:rPr>
                  </w:pPr>
                  <w:r>
                    <w:rPr>
                      <w:rFonts w:hint="eastAsia"/>
                      <w:szCs w:val="21"/>
                    </w:rPr>
                    <w:t>1</w:t>
                  </w:r>
                </w:p>
              </w:tc>
              <w:tc>
                <w:tcPr>
                  <w:tcW w:w="158" w:type="pct"/>
                  <w:vMerge w:val="restart"/>
                  <w:vAlign w:val="center"/>
                </w:tcPr>
                <w:p w14:paraId="6CF146DD">
                  <w:pPr>
                    <w:jc w:val="center"/>
                    <w:rPr>
                      <w:szCs w:val="21"/>
                    </w:rPr>
                  </w:pPr>
                  <w:r>
                    <w:rPr>
                      <w:rFonts w:hint="eastAsia"/>
                      <w:szCs w:val="21"/>
                    </w:rPr>
                    <w:t>砂库</w:t>
                  </w:r>
                </w:p>
              </w:tc>
              <w:tc>
                <w:tcPr>
                  <w:tcW w:w="480" w:type="pct"/>
                  <w:vAlign w:val="center"/>
                </w:tcPr>
                <w:p w14:paraId="7F387C86">
                  <w:pPr>
                    <w:jc w:val="center"/>
                    <w:rPr>
                      <w:szCs w:val="21"/>
                    </w:rPr>
                  </w:pPr>
                  <w:r>
                    <w:rPr>
                      <w:rFonts w:hint="eastAsia"/>
                      <w:szCs w:val="21"/>
                    </w:rPr>
                    <w:t>砂库出料除尘器风机</w:t>
                  </w:r>
                </w:p>
              </w:tc>
              <w:tc>
                <w:tcPr>
                  <w:tcW w:w="413" w:type="pct"/>
                  <w:vAlign w:val="center"/>
                </w:tcPr>
                <w:p w14:paraId="350E24C7">
                  <w:pPr>
                    <w:jc w:val="center"/>
                    <w:rPr>
                      <w:szCs w:val="21"/>
                    </w:rPr>
                  </w:pPr>
                  <w:r>
                    <w:rPr>
                      <w:rFonts w:hint="eastAsia"/>
                      <w:szCs w:val="21"/>
                    </w:rPr>
                    <w:t>N=</w:t>
                  </w:r>
                  <w:r>
                    <w:rPr>
                      <w:szCs w:val="21"/>
                    </w:rPr>
                    <w:t>3</w:t>
                  </w:r>
                  <w:r>
                    <w:rPr>
                      <w:rFonts w:hint="eastAsia"/>
                      <w:szCs w:val="21"/>
                    </w:rPr>
                    <w:t>kw</w:t>
                  </w:r>
                </w:p>
              </w:tc>
              <w:tc>
                <w:tcPr>
                  <w:tcW w:w="518" w:type="pct"/>
                  <w:vAlign w:val="center"/>
                </w:tcPr>
                <w:p w14:paraId="7AA5C91F">
                  <w:pPr>
                    <w:jc w:val="center"/>
                    <w:rPr>
                      <w:szCs w:val="21"/>
                    </w:rPr>
                  </w:pPr>
                  <w:r>
                    <w:rPr>
                      <w:rFonts w:hint="eastAsia"/>
                      <w:szCs w:val="21"/>
                    </w:rPr>
                    <w:t>7</w:t>
                  </w:r>
                  <w:r>
                    <w:rPr>
                      <w:szCs w:val="21"/>
                    </w:rPr>
                    <w:t>0/1</w:t>
                  </w:r>
                </w:p>
              </w:tc>
              <w:tc>
                <w:tcPr>
                  <w:tcW w:w="297" w:type="pct"/>
                  <w:vMerge w:val="restart"/>
                  <w:vAlign w:val="center"/>
                </w:tcPr>
                <w:p w14:paraId="45219A81">
                  <w:pPr>
                    <w:jc w:val="center"/>
                    <w:rPr>
                      <w:szCs w:val="21"/>
                    </w:rPr>
                  </w:pPr>
                  <w:r>
                    <w:rPr>
                      <w:rFonts w:hint="eastAsia"/>
                      <w:szCs w:val="21"/>
                    </w:rPr>
                    <w:t>选用低噪设备，隔声、基础减震</w:t>
                  </w:r>
                </w:p>
              </w:tc>
              <w:tc>
                <w:tcPr>
                  <w:tcW w:w="204" w:type="pct"/>
                  <w:vAlign w:val="center"/>
                </w:tcPr>
                <w:p w14:paraId="35312499">
                  <w:pPr>
                    <w:jc w:val="center"/>
                    <w:rPr>
                      <w:szCs w:val="21"/>
                    </w:rPr>
                  </w:pPr>
                  <w:r>
                    <w:rPr>
                      <w:rFonts w:hint="eastAsia"/>
                      <w:szCs w:val="21"/>
                    </w:rPr>
                    <w:t>30</w:t>
                  </w:r>
                </w:p>
              </w:tc>
              <w:tc>
                <w:tcPr>
                  <w:tcW w:w="220" w:type="pct"/>
                  <w:vAlign w:val="center"/>
                </w:tcPr>
                <w:p w14:paraId="3955E457">
                  <w:pPr>
                    <w:jc w:val="center"/>
                    <w:rPr>
                      <w:szCs w:val="21"/>
                    </w:rPr>
                  </w:pPr>
                  <w:r>
                    <w:rPr>
                      <w:rFonts w:hint="eastAsia"/>
                      <w:szCs w:val="21"/>
                    </w:rPr>
                    <w:t>124</w:t>
                  </w:r>
                </w:p>
              </w:tc>
              <w:tc>
                <w:tcPr>
                  <w:tcW w:w="204" w:type="pct"/>
                  <w:vAlign w:val="center"/>
                </w:tcPr>
                <w:p w14:paraId="2F25A085">
                  <w:pPr>
                    <w:jc w:val="center"/>
                    <w:rPr>
                      <w:szCs w:val="21"/>
                    </w:rPr>
                  </w:pPr>
                  <w:r>
                    <w:rPr>
                      <w:rFonts w:hint="eastAsia"/>
                      <w:szCs w:val="21"/>
                    </w:rPr>
                    <w:t>1.5</w:t>
                  </w:r>
                </w:p>
              </w:tc>
              <w:tc>
                <w:tcPr>
                  <w:tcW w:w="406" w:type="pct"/>
                  <w:vAlign w:val="center"/>
                </w:tcPr>
                <w:p w14:paraId="518BC9A9">
                  <w:pPr>
                    <w:jc w:val="center"/>
                    <w:rPr>
                      <w:szCs w:val="21"/>
                    </w:rPr>
                  </w:pPr>
                  <w:r>
                    <w:rPr>
                      <w:rFonts w:hint="eastAsia"/>
                      <w:szCs w:val="21"/>
                    </w:rPr>
                    <w:t>19.17</w:t>
                  </w:r>
                </w:p>
              </w:tc>
              <w:tc>
                <w:tcPr>
                  <w:tcW w:w="567" w:type="pct"/>
                  <w:vAlign w:val="center"/>
                </w:tcPr>
                <w:p w14:paraId="7AC42CD6">
                  <w:pPr>
                    <w:jc w:val="center"/>
                    <w:rPr>
                      <w:szCs w:val="21"/>
                    </w:rPr>
                  </w:pPr>
                  <w:r>
                    <w:rPr>
                      <w:rFonts w:hint="eastAsia"/>
                      <w:szCs w:val="21"/>
                    </w:rPr>
                    <w:t>60.66</w:t>
                  </w:r>
                </w:p>
              </w:tc>
              <w:tc>
                <w:tcPr>
                  <w:tcW w:w="556" w:type="pct"/>
                  <w:vMerge w:val="restart"/>
                  <w:vAlign w:val="center"/>
                </w:tcPr>
                <w:p w14:paraId="52F902C8">
                  <w:pPr>
                    <w:jc w:val="center"/>
                    <w:rPr>
                      <w:szCs w:val="21"/>
                    </w:rPr>
                  </w:pPr>
                  <w:r>
                    <w:rPr>
                      <w:szCs w:val="21"/>
                    </w:rPr>
                    <w:t>7:00~17:00</w:t>
                  </w:r>
                </w:p>
              </w:tc>
              <w:tc>
                <w:tcPr>
                  <w:tcW w:w="326" w:type="pct"/>
                  <w:vAlign w:val="center"/>
                </w:tcPr>
                <w:p w14:paraId="35EC8202">
                  <w:pPr>
                    <w:jc w:val="center"/>
                    <w:rPr>
                      <w:szCs w:val="21"/>
                    </w:rPr>
                  </w:pPr>
                  <w:r>
                    <w:rPr>
                      <w:rFonts w:hint="eastAsia"/>
                      <w:szCs w:val="21"/>
                    </w:rPr>
                    <w:t>25</w:t>
                  </w:r>
                </w:p>
              </w:tc>
              <w:tc>
                <w:tcPr>
                  <w:tcW w:w="334" w:type="pct"/>
                  <w:vAlign w:val="center"/>
                </w:tcPr>
                <w:p w14:paraId="4D4447EA">
                  <w:pPr>
                    <w:jc w:val="center"/>
                    <w:rPr>
                      <w:szCs w:val="21"/>
                    </w:rPr>
                  </w:pPr>
                  <w:r>
                    <w:rPr>
                      <w:rFonts w:hint="eastAsia"/>
                      <w:szCs w:val="21"/>
                    </w:rPr>
                    <w:t>29.55</w:t>
                  </w:r>
                </w:p>
              </w:tc>
              <w:tc>
                <w:tcPr>
                  <w:tcW w:w="158" w:type="pct"/>
                  <w:vAlign w:val="center"/>
                </w:tcPr>
                <w:p w14:paraId="4F87B6E5">
                  <w:pPr>
                    <w:jc w:val="center"/>
                    <w:rPr>
                      <w:szCs w:val="21"/>
                    </w:rPr>
                  </w:pPr>
                  <w:r>
                    <w:rPr>
                      <w:rFonts w:hint="eastAsia"/>
                      <w:szCs w:val="21"/>
                    </w:rPr>
                    <w:t>1</w:t>
                  </w:r>
                </w:p>
              </w:tc>
            </w:tr>
            <w:tr w14:paraId="6E7A9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158" w:type="pct"/>
                  <w:vAlign w:val="center"/>
                </w:tcPr>
                <w:p w14:paraId="458C9026">
                  <w:pPr>
                    <w:jc w:val="center"/>
                    <w:rPr>
                      <w:szCs w:val="21"/>
                    </w:rPr>
                  </w:pPr>
                  <w:r>
                    <w:rPr>
                      <w:rFonts w:hint="eastAsia"/>
                      <w:szCs w:val="21"/>
                    </w:rPr>
                    <w:t>2</w:t>
                  </w:r>
                </w:p>
              </w:tc>
              <w:tc>
                <w:tcPr>
                  <w:tcW w:w="158" w:type="pct"/>
                  <w:vMerge w:val="continue"/>
                  <w:vAlign w:val="center"/>
                </w:tcPr>
                <w:p w14:paraId="3C82DF64">
                  <w:pPr>
                    <w:jc w:val="center"/>
                    <w:rPr>
                      <w:szCs w:val="21"/>
                    </w:rPr>
                  </w:pPr>
                </w:p>
              </w:tc>
              <w:tc>
                <w:tcPr>
                  <w:tcW w:w="480" w:type="pct"/>
                  <w:vAlign w:val="center"/>
                </w:tcPr>
                <w:p w14:paraId="03C0D427">
                  <w:pPr>
                    <w:jc w:val="center"/>
                    <w:rPr>
                      <w:szCs w:val="21"/>
                    </w:rPr>
                  </w:pPr>
                  <w:r>
                    <w:rPr>
                      <w:rFonts w:hint="eastAsia"/>
                      <w:szCs w:val="21"/>
                    </w:rPr>
                    <w:t>皮带机</w:t>
                  </w:r>
                </w:p>
              </w:tc>
              <w:tc>
                <w:tcPr>
                  <w:tcW w:w="413" w:type="pct"/>
                  <w:vAlign w:val="center"/>
                </w:tcPr>
                <w:p w14:paraId="179780F6">
                  <w:pPr>
                    <w:jc w:val="center"/>
                    <w:rPr>
                      <w:szCs w:val="21"/>
                    </w:rPr>
                  </w:pPr>
                  <w:r>
                    <w:rPr>
                      <w:rFonts w:hint="eastAsia"/>
                      <w:szCs w:val="21"/>
                    </w:rPr>
                    <w:t>PD800</w:t>
                  </w:r>
                </w:p>
              </w:tc>
              <w:tc>
                <w:tcPr>
                  <w:tcW w:w="518" w:type="pct"/>
                  <w:vAlign w:val="center"/>
                </w:tcPr>
                <w:p w14:paraId="2A3B17F6">
                  <w:pPr>
                    <w:jc w:val="center"/>
                    <w:rPr>
                      <w:szCs w:val="21"/>
                    </w:rPr>
                  </w:pPr>
                  <w:r>
                    <w:rPr>
                      <w:rFonts w:hint="eastAsia"/>
                      <w:szCs w:val="21"/>
                    </w:rPr>
                    <w:t>75/1</w:t>
                  </w:r>
                </w:p>
              </w:tc>
              <w:tc>
                <w:tcPr>
                  <w:tcW w:w="297" w:type="pct"/>
                  <w:vMerge w:val="continue"/>
                  <w:vAlign w:val="center"/>
                </w:tcPr>
                <w:p w14:paraId="381313DB">
                  <w:pPr>
                    <w:jc w:val="center"/>
                    <w:rPr>
                      <w:szCs w:val="21"/>
                    </w:rPr>
                  </w:pPr>
                </w:p>
              </w:tc>
              <w:tc>
                <w:tcPr>
                  <w:tcW w:w="204" w:type="pct"/>
                  <w:vAlign w:val="center"/>
                </w:tcPr>
                <w:p w14:paraId="4EED8A14">
                  <w:pPr>
                    <w:jc w:val="center"/>
                    <w:rPr>
                      <w:szCs w:val="21"/>
                    </w:rPr>
                  </w:pPr>
                  <w:r>
                    <w:rPr>
                      <w:rFonts w:hint="eastAsia"/>
                      <w:szCs w:val="21"/>
                    </w:rPr>
                    <w:t>28</w:t>
                  </w:r>
                </w:p>
              </w:tc>
              <w:tc>
                <w:tcPr>
                  <w:tcW w:w="220" w:type="pct"/>
                  <w:vAlign w:val="center"/>
                </w:tcPr>
                <w:p w14:paraId="09D71316">
                  <w:pPr>
                    <w:jc w:val="center"/>
                    <w:rPr>
                      <w:szCs w:val="21"/>
                    </w:rPr>
                  </w:pPr>
                  <w:r>
                    <w:rPr>
                      <w:rFonts w:hint="eastAsia"/>
                      <w:szCs w:val="21"/>
                    </w:rPr>
                    <w:t>122</w:t>
                  </w:r>
                </w:p>
              </w:tc>
              <w:tc>
                <w:tcPr>
                  <w:tcW w:w="204" w:type="pct"/>
                  <w:vAlign w:val="center"/>
                </w:tcPr>
                <w:p w14:paraId="1B03E319">
                  <w:pPr>
                    <w:jc w:val="center"/>
                    <w:rPr>
                      <w:szCs w:val="21"/>
                    </w:rPr>
                  </w:pPr>
                  <w:r>
                    <w:rPr>
                      <w:rFonts w:hint="eastAsia"/>
                      <w:szCs w:val="21"/>
                    </w:rPr>
                    <w:t>3</w:t>
                  </w:r>
                </w:p>
              </w:tc>
              <w:tc>
                <w:tcPr>
                  <w:tcW w:w="406" w:type="pct"/>
                  <w:vAlign w:val="center"/>
                </w:tcPr>
                <w:p w14:paraId="7F2C0115">
                  <w:pPr>
                    <w:jc w:val="center"/>
                    <w:rPr>
                      <w:szCs w:val="21"/>
                    </w:rPr>
                  </w:pPr>
                  <w:r>
                    <w:rPr>
                      <w:rFonts w:hint="eastAsia"/>
                      <w:szCs w:val="21"/>
                    </w:rPr>
                    <w:t>19.17</w:t>
                  </w:r>
                </w:p>
              </w:tc>
              <w:tc>
                <w:tcPr>
                  <w:tcW w:w="567" w:type="pct"/>
                  <w:vAlign w:val="center"/>
                </w:tcPr>
                <w:p w14:paraId="56327C03">
                  <w:pPr>
                    <w:jc w:val="center"/>
                    <w:rPr>
                      <w:szCs w:val="21"/>
                    </w:rPr>
                  </w:pPr>
                  <w:r>
                    <w:rPr>
                      <w:rFonts w:hint="eastAsia"/>
                      <w:szCs w:val="21"/>
                    </w:rPr>
                    <w:t>65.67</w:t>
                  </w:r>
                </w:p>
              </w:tc>
              <w:tc>
                <w:tcPr>
                  <w:tcW w:w="556" w:type="pct"/>
                  <w:vMerge w:val="continue"/>
                  <w:vAlign w:val="center"/>
                </w:tcPr>
                <w:p w14:paraId="69CC62D1">
                  <w:pPr>
                    <w:jc w:val="center"/>
                    <w:rPr>
                      <w:szCs w:val="21"/>
                    </w:rPr>
                  </w:pPr>
                </w:p>
              </w:tc>
              <w:tc>
                <w:tcPr>
                  <w:tcW w:w="326" w:type="pct"/>
                  <w:vAlign w:val="center"/>
                </w:tcPr>
                <w:p w14:paraId="60F7E30F">
                  <w:pPr>
                    <w:jc w:val="center"/>
                    <w:rPr>
                      <w:szCs w:val="21"/>
                    </w:rPr>
                  </w:pPr>
                  <w:r>
                    <w:rPr>
                      <w:rFonts w:hint="eastAsia"/>
                      <w:szCs w:val="21"/>
                    </w:rPr>
                    <w:t>25</w:t>
                  </w:r>
                </w:p>
              </w:tc>
              <w:tc>
                <w:tcPr>
                  <w:tcW w:w="334" w:type="pct"/>
                  <w:vAlign w:val="center"/>
                </w:tcPr>
                <w:p w14:paraId="20CEAF50">
                  <w:pPr>
                    <w:jc w:val="center"/>
                    <w:rPr>
                      <w:szCs w:val="21"/>
                    </w:rPr>
                  </w:pPr>
                  <w:r>
                    <w:rPr>
                      <w:rFonts w:hint="eastAsia"/>
                      <w:szCs w:val="21"/>
                    </w:rPr>
                    <w:t>34.55</w:t>
                  </w:r>
                </w:p>
              </w:tc>
              <w:tc>
                <w:tcPr>
                  <w:tcW w:w="158" w:type="pct"/>
                  <w:vAlign w:val="center"/>
                </w:tcPr>
                <w:p w14:paraId="34284304">
                  <w:pPr>
                    <w:jc w:val="center"/>
                    <w:rPr>
                      <w:szCs w:val="21"/>
                    </w:rPr>
                  </w:pPr>
                </w:p>
              </w:tc>
            </w:tr>
            <w:tr w14:paraId="31165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 w:type="pct"/>
                  <w:vAlign w:val="center"/>
                </w:tcPr>
                <w:p w14:paraId="6A6453B8">
                  <w:pPr>
                    <w:jc w:val="center"/>
                    <w:rPr>
                      <w:szCs w:val="21"/>
                    </w:rPr>
                  </w:pPr>
                  <w:r>
                    <w:rPr>
                      <w:rFonts w:hint="eastAsia"/>
                      <w:szCs w:val="21"/>
                    </w:rPr>
                    <w:t>3</w:t>
                  </w:r>
                </w:p>
              </w:tc>
              <w:tc>
                <w:tcPr>
                  <w:tcW w:w="158" w:type="pct"/>
                  <w:vMerge w:val="restart"/>
                  <w:vAlign w:val="center"/>
                </w:tcPr>
                <w:p w14:paraId="04B5DB07">
                  <w:pPr>
                    <w:jc w:val="center"/>
                    <w:rPr>
                      <w:szCs w:val="21"/>
                    </w:rPr>
                  </w:pPr>
                  <w:r>
                    <w:rPr>
                      <w:rFonts w:hint="eastAsia"/>
                      <w:szCs w:val="21"/>
                    </w:rPr>
                    <w:t>主搅拌楼</w:t>
                  </w:r>
                </w:p>
              </w:tc>
              <w:tc>
                <w:tcPr>
                  <w:tcW w:w="480" w:type="pct"/>
                  <w:vAlign w:val="center"/>
                </w:tcPr>
                <w:p w14:paraId="4FA05397">
                  <w:pPr>
                    <w:jc w:val="center"/>
                    <w:rPr>
                      <w:szCs w:val="21"/>
                    </w:rPr>
                  </w:pPr>
                  <w:r>
                    <w:rPr>
                      <w:rFonts w:hint="eastAsia"/>
                      <w:szCs w:val="21"/>
                    </w:rPr>
                    <w:t>包装机除尘器风机</w:t>
                  </w:r>
                </w:p>
              </w:tc>
              <w:tc>
                <w:tcPr>
                  <w:tcW w:w="413" w:type="pct"/>
                  <w:vAlign w:val="center"/>
                </w:tcPr>
                <w:p w14:paraId="54B39C99">
                  <w:pPr>
                    <w:jc w:val="center"/>
                    <w:rPr>
                      <w:szCs w:val="21"/>
                    </w:rPr>
                  </w:pPr>
                  <w:r>
                    <w:rPr>
                      <w:rFonts w:hint="eastAsia"/>
                      <w:szCs w:val="21"/>
                    </w:rPr>
                    <w:t>N=</w:t>
                  </w:r>
                  <w:r>
                    <w:rPr>
                      <w:szCs w:val="21"/>
                    </w:rPr>
                    <w:t>11</w:t>
                  </w:r>
                  <w:r>
                    <w:rPr>
                      <w:rFonts w:hint="eastAsia"/>
                      <w:szCs w:val="21"/>
                    </w:rPr>
                    <w:t>kw</w:t>
                  </w:r>
                </w:p>
              </w:tc>
              <w:tc>
                <w:tcPr>
                  <w:tcW w:w="518" w:type="pct"/>
                  <w:vAlign w:val="center"/>
                </w:tcPr>
                <w:p w14:paraId="098B8422">
                  <w:pPr>
                    <w:jc w:val="center"/>
                    <w:rPr>
                      <w:szCs w:val="21"/>
                    </w:rPr>
                  </w:pPr>
                  <w:r>
                    <w:rPr>
                      <w:rFonts w:hint="eastAsia"/>
                      <w:szCs w:val="21"/>
                    </w:rPr>
                    <w:t>7</w:t>
                  </w:r>
                  <w:r>
                    <w:rPr>
                      <w:szCs w:val="21"/>
                    </w:rPr>
                    <w:t>5/1</w:t>
                  </w:r>
                </w:p>
              </w:tc>
              <w:tc>
                <w:tcPr>
                  <w:tcW w:w="297" w:type="pct"/>
                  <w:vMerge w:val="continue"/>
                  <w:vAlign w:val="center"/>
                </w:tcPr>
                <w:p w14:paraId="4858CB11">
                  <w:pPr>
                    <w:jc w:val="center"/>
                    <w:rPr>
                      <w:szCs w:val="21"/>
                    </w:rPr>
                  </w:pPr>
                </w:p>
              </w:tc>
              <w:tc>
                <w:tcPr>
                  <w:tcW w:w="204" w:type="pct"/>
                  <w:vAlign w:val="center"/>
                </w:tcPr>
                <w:p w14:paraId="1173264B">
                  <w:pPr>
                    <w:jc w:val="center"/>
                    <w:rPr>
                      <w:szCs w:val="21"/>
                    </w:rPr>
                  </w:pPr>
                  <w:r>
                    <w:rPr>
                      <w:rFonts w:hint="eastAsia"/>
                      <w:szCs w:val="21"/>
                    </w:rPr>
                    <w:t>29</w:t>
                  </w:r>
                </w:p>
              </w:tc>
              <w:tc>
                <w:tcPr>
                  <w:tcW w:w="220" w:type="pct"/>
                  <w:vAlign w:val="center"/>
                </w:tcPr>
                <w:p w14:paraId="0990B9EE">
                  <w:pPr>
                    <w:jc w:val="center"/>
                    <w:rPr>
                      <w:szCs w:val="21"/>
                    </w:rPr>
                  </w:pPr>
                  <w:r>
                    <w:rPr>
                      <w:rFonts w:hint="eastAsia"/>
                      <w:szCs w:val="21"/>
                    </w:rPr>
                    <w:t>106</w:t>
                  </w:r>
                </w:p>
              </w:tc>
              <w:tc>
                <w:tcPr>
                  <w:tcW w:w="204" w:type="pct"/>
                  <w:vAlign w:val="center"/>
                </w:tcPr>
                <w:p w14:paraId="10399929">
                  <w:pPr>
                    <w:jc w:val="center"/>
                    <w:rPr>
                      <w:szCs w:val="21"/>
                    </w:rPr>
                  </w:pPr>
                  <w:r>
                    <w:rPr>
                      <w:rFonts w:hint="eastAsia"/>
                      <w:szCs w:val="21"/>
                    </w:rPr>
                    <w:t>8</w:t>
                  </w:r>
                  <w:r>
                    <w:rPr>
                      <w:szCs w:val="21"/>
                    </w:rPr>
                    <w:t>.5</w:t>
                  </w:r>
                </w:p>
              </w:tc>
              <w:tc>
                <w:tcPr>
                  <w:tcW w:w="406" w:type="pct"/>
                  <w:vAlign w:val="center"/>
                </w:tcPr>
                <w:p w14:paraId="0CB56821">
                  <w:pPr>
                    <w:jc w:val="center"/>
                    <w:rPr>
                      <w:szCs w:val="21"/>
                    </w:rPr>
                  </w:pPr>
                  <w:r>
                    <w:rPr>
                      <w:rFonts w:hint="eastAsia"/>
                      <w:szCs w:val="21"/>
                    </w:rPr>
                    <w:t>14.16</w:t>
                  </w:r>
                </w:p>
              </w:tc>
              <w:tc>
                <w:tcPr>
                  <w:tcW w:w="567" w:type="pct"/>
                  <w:vAlign w:val="center"/>
                </w:tcPr>
                <w:p w14:paraId="2668703D">
                  <w:pPr>
                    <w:jc w:val="center"/>
                    <w:rPr>
                      <w:szCs w:val="21"/>
                    </w:rPr>
                  </w:pPr>
                  <w:r>
                    <w:rPr>
                      <w:rFonts w:hint="eastAsia"/>
                      <w:szCs w:val="21"/>
                    </w:rPr>
                    <w:t>70.33</w:t>
                  </w:r>
                </w:p>
              </w:tc>
              <w:tc>
                <w:tcPr>
                  <w:tcW w:w="556" w:type="pct"/>
                  <w:vMerge w:val="continue"/>
                  <w:vAlign w:val="center"/>
                </w:tcPr>
                <w:p w14:paraId="0FA69B1F">
                  <w:pPr>
                    <w:jc w:val="center"/>
                    <w:rPr>
                      <w:szCs w:val="21"/>
                    </w:rPr>
                  </w:pPr>
                </w:p>
              </w:tc>
              <w:tc>
                <w:tcPr>
                  <w:tcW w:w="326" w:type="pct"/>
                  <w:vAlign w:val="center"/>
                </w:tcPr>
                <w:p w14:paraId="0599A844">
                  <w:pPr>
                    <w:jc w:val="center"/>
                    <w:rPr>
                      <w:szCs w:val="21"/>
                    </w:rPr>
                  </w:pPr>
                  <w:r>
                    <w:rPr>
                      <w:rFonts w:hint="eastAsia"/>
                      <w:szCs w:val="21"/>
                    </w:rPr>
                    <w:t>25</w:t>
                  </w:r>
                </w:p>
              </w:tc>
              <w:tc>
                <w:tcPr>
                  <w:tcW w:w="334" w:type="pct"/>
                  <w:vAlign w:val="center"/>
                </w:tcPr>
                <w:p w14:paraId="72D8EE6D">
                  <w:pPr>
                    <w:jc w:val="center"/>
                    <w:rPr>
                      <w:szCs w:val="21"/>
                    </w:rPr>
                  </w:pPr>
                  <w:r>
                    <w:rPr>
                      <w:rFonts w:hint="eastAsia"/>
                      <w:szCs w:val="21"/>
                    </w:rPr>
                    <w:t>39.25</w:t>
                  </w:r>
                </w:p>
              </w:tc>
              <w:tc>
                <w:tcPr>
                  <w:tcW w:w="158" w:type="pct"/>
                  <w:vAlign w:val="center"/>
                </w:tcPr>
                <w:p w14:paraId="073FAE82">
                  <w:pPr>
                    <w:jc w:val="center"/>
                    <w:rPr>
                      <w:szCs w:val="21"/>
                    </w:rPr>
                  </w:pPr>
                  <w:r>
                    <w:rPr>
                      <w:rFonts w:hint="eastAsia"/>
                      <w:szCs w:val="21"/>
                    </w:rPr>
                    <w:t>1</w:t>
                  </w:r>
                </w:p>
              </w:tc>
            </w:tr>
            <w:tr w14:paraId="5E628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 w:type="pct"/>
                  <w:vAlign w:val="center"/>
                </w:tcPr>
                <w:p w14:paraId="41C92E95">
                  <w:pPr>
                    <w:jc w:val="center"/>
                    <w:rPr>
                      <w:szCs w:val="21"/>
                    </w:rPr>
                  </w:pPr>
                  <w:r>
                    <w:rPr>
                      <w:rFonts w:hint="eastAsia"/>
                      <w:szCs w:val="21"/>
                    </w:rPr>
                    <w:t>4</w:t>
                  </w:r>
                </w:p>
              </w:tc>
              <w:tc>
                <w:tcPr>
                  <w:tcW w:w="158" w:type="pct"/>
                  <w:vMerge w:val="continue"/>
                  <w:vAlign w:val="center"/>
                </w:tcPr>
                <w:p w14:paraId="5E0CDF52">
                  <w:pPr>
                    <w:jc w:val="center"/>
                    <w:rPr>
                      <w:szCs w:val="21"/>
                    </w:rPr>
                  </w:pPr>
                </w:p>
              </w:tc>
              <w:tc>
                <w:tcPr>
                  <w:tcW w:w="480" w:type="pct"/>
                  <w:vAlign w:val="center"/>
                </w:tcPr>
                <w:p w14:paraId="2EE03AC9">
                  <w:pPr>
                    <w:jc w:val="center"/>
                    <w:rPr>
                      <w:szCs w:val="21"/>
                    </w:rPr>
                  </w:pPr>
                  <w:r>
                    <w:rPr>
                      <w:rFonts w:hint="eastAsia"/>
                      <w:szCs w:val="21"/>
                    </w:rPr>
                    <w:t>主楼散装除尘器风机</w:t>
                  </w:r>
                </w:p>
              </w:tc>
              <w:tc>
                <w:tcPr>
                  <w:tcW w:w="413" w:type="pct"/>
                  <w:vAlign w:val="center"/>
                </w:tcPr>
                <w:p w14:paraId="6B3BFD5F">
                  <w:pPr>
                    <w:jc w:val="center"/>
                    <w:rPr>
                      <w:szCs w:val="21"/>
                    </w:rPr>
                  </w:pPr>
                  <w:r>
                    <w:rPr>
                      <w:rFonts w:hint="eastAsia"/>
                      <w:szCs w:val="21"/>
                    </w:rPr>
                    <w:t>N=</w:t>
                  </w:r>
                  <w:r>
                    <w:rPr>
                      <w:szCs w:val="21"/>
                    </w:rPr>
                    <w:t>3</w:t>
                  </w:r>
                  <w:r>
                    <w:rPr>
                      <w:rFonts w:hint="eastAsia"/>
                      <w:szCs w:val="21"/>
                    </w:rPr>
                    <w:t>kw</w:t>
                  </w:r>
                </w:p>
              </w:tc>
              <w:tc>
                <w:tcPr>
                  <w:tcW w:w="518" w:type="pct"/>
                  <w:vAlign w:val="center"/>
                </w:tcPr>
                <w:p w14:paraId="777402DF">
                  <w:pPr>
                    <w:jc w:val="center"/>
                    <w:rPr>
                      <w:szCs w:val="21"/>
                    </w:rPr>
                  </w:pPr>
                  <w:r>
                    <w:rPr>
                      <w:rFonts w:hint="eastAsia"/>
                      <w:szCs w:val="21"/>
                    </w:rPr>
                    <w:t>7</w:t>
                  </w:r>
                  <w:r>
                    <w:rPr>
                      <w:szCs w:val="21"/>
                    </w:rPr>
                    <w:t>0/1</w:t>
                  </w:r>
                </w:p>
              </w:tc>
              <w:tc>
                <w:tcPr>
                  <w:tcW w:w="297" w:type="pct"/>
                  <w:vMerge w:val="continue"/>
                  <w:vAlign w:val="center"/>
                </w:tcPr>
                <w:p w14:paraId="389F0B71">
                  <w:pPr>
                    <w:jc w:val="center"/>
                    <w:rPr>
                      <w:szCs w:val="21"/>
                    </w:rPr>
                  </w:pPr>
                </w:p>
              </w:tc>
              <w:tc>
                <w:tcPr>
                  <w:tcW w:w="204" w:type="pct"/>
                  <w:vAlign w:val="center"/>
                </w:tcPr>
                <w:p w14:paraId="4886AD37">
                  <w:pPr>
                    <w:jc w:val="center"/>
                    <w:rPr>
                      <w:szCs w:val="21"/>
                    </w:rPr>
                  </w:pPr>
                  <w:r>
                    <w:rPr>
                      <w:rFonts w:hint="eastAsia"/>
                      <w:szCs w:val="21"/>
                    </w:rPr>
                    <w:t>30</w:t>
                  </w:r>
                </w:p>
              </w:tc>
              <w:tc>
                <w:tcPr>
                  <w:tcW w:w="220" w:type="pct"/>
                  <w:vAlign w:val="center"/>
                </w:tcPr>
                <w:p w14:paraId="71AFF58A">
                  <w:pPr>
                    <w:jc w:val="center"/>
                    <w:rPr>
                      <w:szCs w:val="21"/>
                    </w:rPr>
                  </w:pPr>
                  <w:r>
                    <w:rPr>
                      <w:rFonts w:hint="eastAsia"/>
                      <w:szCs w:val="21"/>
                    </w:rPr>
                    <w:t>99</w:t>
                  </w:r>
                </w:p>
              </w:tc>
              <w:tc>
                <w:tcPr>
                  <w:tcW w:w="204" w:type="pct"/>
                  <w:vAlign w:val="center"/>
                </w:tcPr>
                <w:p w14:paraId="066B91D1">
                  <w:pPr>
                    <w:jc w:val="center"/>
                    <w:rPr>
                      <w:szCs w:val="21"/>
                    </w:rPr>
                  </w:pPr>
                  <w:r>
                    <w:rPr>
                      <w:rFonts w:hint="eastAsia"/>
                      <w:szCs w:val="21"/>
                    </w:rPr>
                    <w:t>8</w:t>
                  </w:r>
                </w:p>
              </w:tc>
              <w:tc>
                <w:tcPr>
                  <w:tcW w:w="406" w:type="pct"/>
                  <w:vAlign w:val="center"/>
                </w:tcPr>
                <w:p w14:paraId="67C5BAF1">
                  <w:pPr>
                    <w:jc w:val="center"/>
                    <w:rPr>
                      <w:szCs w:val="21"/>
                    </w:rPr>
                  </w:pPr>
                  <w:r>
                    <w:rPr>
                      <w:rFonts w:hint="eastAsia"/>
                      <w:szCs w:val="21"/>
                    </w:rPr>
                    <w:t>14.16</w:t>
                  </w:r>
                </w:p>
              </w:tc>
              <w:tc>
                <w:tcPr>
                  <w:tcW w:w="567" w:type="pct"/>
                  <w:vAlign w:val="center"/>
                </w:tcPr>
                <w:p w14:paraId="27A19C59">
                  <w:pPr>
                    <w:jc w:val="center"/>
                    <w:rPr>
                      <w:szCs w:val="21"/>
                    </w:rPr>
                  </w:pPr>
                  <w:r>
                    <w:rPr>
                      <w:rFonts w:hint="eastAsia"/>
                      <w:szCs w:val="21"/>
                    </w:rPr>
                    <w:t>65.33</w:t>
                  </w:r>
                </w:p>
              </w:tc>
              <w:tc>
                <w:tcPr>
                  <w:tcW w:w="556" w:type="pct"/>
                  <w:vMerge w:val="continue"/>
                  <w:vAlign w:val="center"/>
                </w:tcPr>
                <w:p w14:paraId="7DF7D247">
                  <w:pPr>
                    <w:jc w:val="center"/>
                    <w:rPr>
                      <w:szCs w:val="21"/>
                    </w:rPr>
                  </w:pPr>
                </w:p>
              </w:tc>
              <w:tc>
                <w:tcPr>
                  <w:tcW w:w="326" w:type="pct"/>
                  <w:vAlign w:val="center"/>
                </w:tcPr>
                <w:p w14:paraId="274AE6BB">
                  <w:pPr>
                    <w:jc w:val="center"/>
                    <w:rPr>
                      <w:szCs w:val="21"/>
                    </w:rPr>
                  </w:pPr>
                  <w:r>
                    <w:rPr>
                      <w:rFonts w:hint="eastAsia"/>
                      <w:szCs w:val="21"/>
                    </w:rPr>
                    <w:t>25</w:t>
                  </w:r>
                </w:p>
              </w:tc>
              <w:tc>
                <w:tcPr>
                  <w:tcW w:w="334" w:type="pct"/>
                  <w:vAlign w:val="center"/>
                </w:tcPr>
                <w:p w14:paraId="7F824E00">
                  <w:pPr>
                    <w:jc w:val="center"/>
                    <w:rPr>
                      <w:szCs w:val="21"/>
                    </w:rPr>
                  </w:pPr>
                  <w:r>
                    <w:rPr>
                      <w:rFonts w:hint="eastAsia"/>
                      <w:szCs w:val="21"/>
                    </w:rPr>
                    <w:t>34.25</w:t>
                  </w:r>
                </w:p>
              </w:tc>
              <w:tc>
                <w:tcPr>
                  <w:tcW w:w="158" w:type="pct"/>
                  <w:vAlign w:val="center"/>
                </w:tcPr>
                <w:p w14:paraId="44F74D70">
                  <w:pPr>
                    <w:jc w:val="center"/>
                    <w:rPr>
                      <w:szCs w:val="21"/>
                    </w:rPr>
                  </w:pPr>
                  <w:r>
                    <w:rPr>
                      <w:rFonts w:hint="eastAsia"/>
                      <w:szCs w:val="21"/>
                    </w:rPr>
                    <w:t>1</w:t>
                  </w:r>
                </w:p>
              </w:tc>
            </w:tr>
            <w:tr w14:paraId="6D8DD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 w:type="pct"/>
                  <w:vAlign w:val="center"/>
                </w:tcPr>
                <w:p w14:paraId="054EFA3D">
                  <w:pPr>
                    <w:jc w:val="center"/>
                    <w:rPr>
                      <w:szCs w:val="21"/>
                    </w:rPr>
                  </w:pPr>
                  <w:r>
                    <w:rPr>
                      <w:rFonts w:hint="eastAsia"/>
                      <w:szCs w:val="21"/>
                    </w:rPr>
                    <w:t>5</w:t>
                  </w:r>
                </w:p>
              </w:tc>
              <w:tc>
                <w:tcPr>
                  <w:tcW w:w="158" w:type="pct"/>
                  <w:vMerge w:val="continue"/>
                  <w:vAlign w:val="center"/>
                </w:tcPr>
                <w:p w14:paraId="41E2B6AC">
                  <w:pPr>
                    <w:jc w:val="center"/>
                    <w:rPr>
                      <w:szCs w:val="21"/>
                    </w:rPr>
                  </w:pPr>
                </w:p>
              </w:tc>
              <w:tc>
                <w:tcPr>
                  <w:tcW w:w="480" w:type="pct"/>
                  <w:vAlign w:val="center"/>
                </w:tcPr>
                <w:p w14:paraId="3186CD63">
                  <w:pPr>
                    <w:jc w:val="center"/>
                    <w:rPr>
                      <w:szCs w:val="21"/>
                    </w:rPr>
                  </w:pPr>
                  <w:r>
                    <w:rPr>
                      <w:rFonts w:hint="eastAsia"/>
                      <w:szCs w:val="21"/>
                    </w:rPr>
                    <w:t>主楼除尘器风机</w:t>
                  </w:r>
                </w:p>
              </w:tc>
              <w:tc>
                <w:tcPr>
                  <w:tcW w:w="413" w:type="pct"/>
                  <w:vAlign w:val="center"/>
                </w:tcPr>
                <w:p w14:paraId="1B820DD5">
                  <w:pPr>
                    <w:jc w:val="center"/>
                    <w:rPr>
                      <w:szCs w:val="21"/>
                    </w:rPr>
                  </w:pPr>
                  <w:r>
                    <w:rPr>
                      <w:rFonts w:hint="eastAsia"/>
                      <w:szCs w:val="21"/>
                    </w:rPr>
                    <w:t>N=</w:t>
                  </w:r>
                  <w:r>
                    <w:rPr>
                      <w:szCs w:val="21"/>
                    </w:rPr>
                    <w:t>3</w:t>
                  </w:r>
                  <w:r>
                    <w:rPr>
                      <w:rFonts w:hint="eastAsia"/>
                      <w:szCs w:val="21"/>
                    </w:rPr>
                    <w:t>kw</w:t>
                  </w:r>
                </w:p>
              </w:tc>
              <w:tc>
                <w:tcPr>
                  <w:tcW w:w="518" w:type="pct"/>
                  <w:vAlign w:val="center"/>
                </w:tcPr>
                <w:p w14:paraId="67596710">
                  <w:pPr>
                    <w:jc w:val="center"/>
                    <w:rPr>
                      <w:szCs w:val="21"/>
                    </w:rPr>
                  </w:pPr>
                  <w:r>
                    <w:rPr>
                      <w:rFonts w:hint="eastAsia"/>
                      <w:szCs w:val="21"/>
                    </w:rPr>
                    <w:t>7</w:t>
                  </w:r>
                  <w:r>
                    <w:rPr>
                      <w:szCs w:val="21"/>
                    </w:rPr>
                    <w:t>0/1</w:t>
                  </w:r>
                </w:p>
              </w:tc>
              <w:tc>
                <w:tcPr>
                  <w:tcW w:w="297" w:type="pct"/>
                  <w:vMerge w:val="continue"/>
                  <w:vAlign w:val="center"/>
                </w:tcPr>
                <w:p w14:paraId="6BD3C3FA">
                  <w:pPr>
                    <w:jc w:val="center"/>
                    <w:rPr>
                      <w:szCs w:val="21"/>
                    </w:rPr>
                  </w:pPr>
                </w:p>
              </w:tc>
              <w:tc>
                <w:tcPr>
                  <w:tcW w:w="204" w:type="pct"/>
                  <w:vAlign w:val="center"/>
                </w:tcPr>
                <w:p w14:paraId="36122EA1">
                  <w:pPr>
                    <w:jc w:val="center"/>
                    <w:rPr>
                      <w:szCs w:val="21"/>
                    </w:rPr>
                  </w:pPr>
                  <w:r>
                    <w:rPr>
                      <w:rFonts w:hint="eastAsia"/>
                      <w:szCs w:val="21"/>
                    </w:rPr>
                    <w:t>24</w:t>
                  </w:r>
                </w:p>
              </w:tc>
              <w:tc>
                <w:tcPr>
                  <w:tcW w:w="220" w:type="pct"/>
                  <w:vAlign w:val="center"/>
                </w:tcPr>
                <w:p w14:paraId="7293A409">
                  <w:pPr>
                    <w:jc w:val="center"/>
                    <w:rPr>
                      <w:szCs w:val="21"/>
                    </w:rPr>
                  </w:pPr>
                  <w:r>
                    <w:rPr>
                      <w:rFonts w:hint="eastAsia"/>
                      <w:szCs w:val="21"/>
                    </w:rPr>
                    <w:t>1</w:t>
                  </w:r>
                  <w:r>
                    <w:rPr>
                      <w:szCs w:val="21"/>
                    </w:rPr>
                    <w:t>0</w:t>
                  </w:r>
                  <w:r>
                    <w:rPr>
                      <w:rFonts w:hint="eastAsia"/>
                      <w:szCs w:val="21"/>
                    </w:rPr>
                    <w:t>2</w:t>
                  </w:r>
                </w:p>
              </w:tc>
              <w:tc>
                <w:tcPr>
                  <w:tcW w:w="204" w:type="pct"/>
                  <w:vAlign w:val="center"/>
                </w:tcPr>
                <w:p w14:paraId="2508ED66">
                  <w:pPr>
                    <w:jc w:val="center"/>
                    <w:rPr>
                      <w:szCs w:val="21"/>
                    </w:rPr>
                  </w:pPr>
                  <w:r>
                    <w:rPr>
                      <w:rFonts w:hint="eastAsia"/>
                      <w:szCs w:val="21"/>
                    </w:rPr>
                    <w:t>17</w:t>
                  </w:r>
                </w:p>
              </w:tc>
              <w:tc>
                <w:tcPr>
                  <w:tcW w:w="406" w:type="pct"/>
                  <w:vAlign w:val="center"/>
                </w:tcPr>
                <w:p w14:paraId="62882CE8">
                  <w:pPr>
                    <w:jc w:val="center"/>
                    <w:rPr>
                      <w:szCs w:val="21"/>
                    </w:rPr>
                  </w:pPr>
                  <w:r>
                    <w:rPr>
                      <w:rFonts w:hint="eastAsia"/>
                      <w:szCs w:val="21"/>
                    </w:rPr>
                    <w:t>14.16</w:t>
                  </w:r>
                </w:p>
              </w:tc>
              <w:tc>
                <w:tcPr>
                  <w:tcW w:w="567" w:type="pct"/>
                  <w:vAlign w:val="center"/>
                </w:tcPr>
                <w:p w14:paraId="1D2FABBB">
                  <w:pPr>
                    <w:jc w:val="center"/>
                    <w:rPr>
                      <w:szCs w:val="21"/>
                    </w:rPr>
                  </w:pPr>
                  <w:r>
                    <w:rPr>
                      <w:rFonts w:hint="eastAsia"/>
                      <w:szCs w:val="21"/>
                    </w:rPr>
                    <w:t>65.33</w:t>
                  </w:r>
                </w:p>
              </w:tc>
              <w:tc>
                <w:tcPr>
                  <w:tcW w:w="556" w:type="pct"/>
                  <w:vMerge w:val="continue"/>
                  <w:vAlign w:val="center"/>
                </w:tcPr>
                <w:p w14:paraId="48DBEA8B">
                  <w:pPr>
                    <w:jc w:val="center"/>
                    <w:rPr>
                      <w:szCs w:val="21"/>
                    </w:rPr>
                  </w:pPr>
                </w:p>
              </w:tc>
              <w:tc>
                <w:tcPr>
                  <w:tcW w:w="326" w:type="pct"/>
                  <w:vAlign w:val="center"/>
                </w:tcPr>
                <w:p w14:paraId="37C1A685">
                  <w:pPr>
                    <w:jc w:val="center"/>
                    <w:rPr>
                      <w:szCs w:val="21"/>
                    </w:rPr>
                  </w:pPr>
                  <w:r>
                    <w:rPr>
                      <w:rFonts w:hint="eastAsia"/>
                      <w:szCs w:val="21"/>
                    </w:rPr>
                    <w:t>25</w:t>
                  </w:r>
                </w:p>
              </w:tc>
              <w:tc>
                <w:tcPr>
                  <w:tcW w:w="334" w:type="pct"/>
                  <w:vAlign w:val="center"/>
                </w:tcPr>
                <w:p w14:paraId="1B1E15DC">
                  <w:pPr>
                    <w:jc w:val="center"/>
                    <w:rPr>
                      <w:szCs w:val="21"/>
                    </w:rPr>
                  </w:pPr>
                  <w:r>
                    <w:rPr>
                      <w:rFonts w:hint="eastAsia"/>
                      <w:szCs w:val="21"/>
                    </w:rPr>
                    <w:t>34.25</w:t>
                  </w:r>
                </w:p>
              </w:tc>
              <w:tc>
                <w:tcPr>
                  <w:tcW w:w="158" w:type="pct"/>
                  <w:vAlign w:val="center"/>
                </w:tcPr>
                <w:p w14:paraId="6C394EB8">
                  <w:pPr>
                    <w:jc w:val="center"/>
                    <w:rPr>
                      <w:szCs w:val="21"/>
                    </w:rPr>
                  </w:pPr>
                  <w:r>
                    <w:rPr>
                      <w:rFonts w:hint="eastAsia"/>
                      <w:szCs w:val="21"/>
                    </w:rPr>
                    <w:t>1</w:t>
                  </w:r>
                </w:p>
              </w:tc>
            </w:tr>
            <w:tr w14:paraId="2F1D1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 w:type="pct"/>
                  <w:vAlign w:val="center"/>
                </w:tcPr>
                <w:p w14:paraId="74D9A9A4">
                  <w:pPr>
                    <w:jc w:val="center"/>
                    <w:rPr>
                      <w:szCs w:val="21"/>
                    </w:rPr>
                  </w:pPr>
                  <w:r>
                    <w:rPr>
                      <w:rFonts w:hint="eastAsia"/>
                      <w:szCs w:val="21"/>
                    </w:rPr>
                    <w:t>6</w:t>
                  </w:r>
                </w:p>
              </w:tc>
              <w:tc>
                <w:tcPr>
                  <w:tcW w:w="158" w:type="pct"/>
                  <w:vMerge w:val="continue"/>
                  <w:vAlign w:val="center"/>
                </w:tcPr>
                <w:p w14:paraId="5D4DFFD2">
                  <w:pPr>
                    <w:jc w:val="center"/>
                    <w:rPr>
                      <w:szCs w:val="21"/>
                    </w:rPr>
                  </w:pPr>
                </w:p>
              </w:tc>
              <w:tc>
                <w:tcPr>
                  <w:tcW w:w="480" w:type="pct"/>
                  <w:vAlign w:val="center"/>
                </w:tcPr>
                <w:p w14:paraId="145C1640">
                  <w:pPr>
                    <w:jc w:val="center"/>
                    <w:rPr>
                      <w:szCs w:val="21"/>
                    </w:rPr>
                  </w:pPr>
                  <w:r>
                    <w:rPr>
                      <w:rFonts w:hint="eastAsia"/>
                      <w:szCs w:val="21"/>
                    </w:rPr>
                    <w:t>搅拌主机</w:t>
                  </w:r>
                </w:p>
              </w:tc>
              <w:tc>
                <w:tcPr>
                  <w:tcW w:w="413" w:type="pct"/>
                  <w:vAlign w:val="center"/>
                </w:tcPr>
                <w:p w14:paraId="2BCE4B80">
                  <w:pPr>
                    <w:jc w:val="center"/>
                    <w:rPr>
                      <w:szCs w:val="21"/>
                    </w:rPr>
                  </w:pPr>
                  <w:r>
                    <w:rPr>
                      <w:rFonts w:hint="eastAsia"/>
                      <w:szCs w:val="21"/>
                    </w:rPr>
                    <w:t>SW</w:t>
                  </w:r>
                  <w:r>
                    <w:rPr>
                      <w:szCs w:val="21"/>
                    </w:rPr>
                    <w:t>6000</w:t>
                  </w:r>
                </w:p>
              </w:tc>
              <w:tc>
                <w:tcPr>
                  <w:tcW w:w="518" w:type="pct"/>
                  <w:vAlign w:val="center"/>
                </w:tcPr>
                <w:p w14:paraId="24333476">
                  <w:pPr>
                    <w:jc w:val="center"/>
                    <w:rPr>
                      <w:szCs w:val="21"/>
                    </w:rPr>
                  </w:pPr>
                  <w:r>
                    <w:rPr>
                      <w:rFonts w:hint="eastAsia"/>
                      <w:szCs w:val="21"/>
                    </w:rPr>
                    <w:t>80/1</w:t>
                  </w:r>
                </w:p>
              </w:tc>
              <w:tc>
                <w:tcPr>
                  <w:tcW w:w="297" w:type="pct"/>
                  <w:vMerge w:val="continue"/>
                  <w:vAlign w:val="center"/>
                </w:tcPr>
                <w:p w14:paraId="5B7046DE">
                  <w:pPr>
                    <w:jc w:val="center"/>
                    <w:rPr>
                      <w:szCs w:val="21"/>
                    </w:rPr>
                  </w:pPr>
                </w:p>
              </w:tc>
              <w:tc>
                <w:tcPr>
                  <w:tcW w:w="204" w:type="pct"/>
                  <w:vAlign w:val="center"/>
                </w:tcPr>
                <w:p w14:paraId="7D5B8EBB">
                  <w:pPr>
                    <w:jc w:val="center"/>
                    <w:rPr>
                      <w:szCs w:val="21"/>
                    </w:rPr>
                  </w:pPr>
                  <w:r>
                    <w:rPr>
                      <w:rFonts w:hint="eastAsia"/>
                      <w:szCs w:val="21"/>
                    </w:rPr>
                    <w:t>25</w:t>
                  </w:r>
                </w:p>
              </w:tc>
              <w:tc>
                <w:tcPr>
                  <w:tcW w:w="220" w:type="pct"/>
                  <w:vAlign w:val="center"/>
                </w:tcPr>
                <w:p w14:paraId="3C7FA534">
                  <w:pPr>
                    <w:jc w:val="center"/>
                    <w:rPr>
                      <w:szCs w:val="21"/>
                    </w:rPr>
                  </w:pPr>
                  <w:r>
                    <w:rPr>
                      <w:rFonts w:hint="eastAsia"/>
                      <w:szCs w:val="21"/>
                    </w:rPr>
                    <w:t>99</w:t>
                  </w:r>
                </w:p>
              </w:tc>
              <w:tc>
                <w:tcPr>
                  <w:tcW w:w="204" w:type="pct"/>
                  <w:vAlign w:val="center"/>
                </w:tcPr>
                <w:p w14:paraId="07F18CBE">
                  <w:pPr>
                    <w:jc w:val="center"/>
                    <w:rPr>
                      <w:szCs w:val="21"/>
                    </w:rPr>
                  </w:pPr>
                  <w:r>
                    <w:rPr>
                      <w:rFonts w:hint="eastAsia"/>
                      <w:szCs w:val="21"/>
                    </w:rPr>
                    <w:t>11</w:t>
                  </w:r>
                </w:p>
              </w:tc>
              <w:tc>
                <w:tcPr>
                  <w:tcW w:w="406" w:type="pct"/>
                  <w:vAlign w:val="center"/>
                </w:tcPr>
                <w:p w14:paraId="58B10820">
                  <w:pPr>
                    <w:jc w:val="center"/>
                    <w:rPr>
                      <w:szCs w:val="21"/>
                    </w:rPr>
                  </w:pPr>
                  <w:r>
                    <w:rPr>
                      <w:rFonts w:hint="eastAsia"/>
                      <w:szCs w:val="21"/>
                    </w:rPr>
                    <w:t>14.16</w:t>
                  </w:r>
                </w:p>
              </w:tc>
              <w:tc>
                <w:tcPr>
                  <w:tcW w:w="567" w:type="pct"/>
                  <w:vAlign w:val="center"/>
                </w:tcPr>
                <w:p w14:paraId="1A9188D2">
                  <w:pPr>
                    <w:jc w:val="center"/>
                    <w:rPr>
                      <w:szCs w:val="21"/>
                    </w:rPr>
                  </w:pPr>
                  <w:r>
                    <w:rPr>
                      <w:rFonts w:hint="eastAsia"/>
                      <w:szCs w:val="21"/>
                    </w:rPr>
                    <w:t>75.33</w:t>
                  </w:r>
                </w:p>
              </w:tc>
              <w:tc>
                <w:tcPr>
                  <w:tcW w:w="556" w:type="pct"/>
                  <w:vMerge w:val="continue"/>
                  <w:vAlign w:val="center"/>
                </w:tcPr>
                <w:p w14:paraId="5C3AA7EB">
                  <w:pPr>
                    <w:jc w:val="center"/>
                    <w:rPr>
                      <w:szCs w:val="21"/>
                    </w:rPr>
                  </w:pPr>
                </w:p>
              </w:tc>
              <w:tc>
                <w:tcPr>
                  <w:tcW w:w="326" w:type="pct"/>
                  <w:vAlign w:val="center"/>
                </w:tcPr>
                <w:p w14:paraId="5148D516">
                  <w:pPr>
                    <w:jc w:val="center"/>
                    <w:rPr>
                      <w:szCs w:val="21"/>
                    </w:rPr>
                  </w:pPr>
                  <w:r>
                    <w:rPr>
                      <w:rFonts w:hint="eastAsia"/>
                      <w:szCs w:val="21"/>
                    </w:rPr>
                    <w:t>25</w:t>
                  </w:r>
                </w:p>
              </w:tc>
              <w:tc>
                <w:tcPr>
                  <w:tcW w:w="334" w:type="pct"/>
                  <w:vAlign w:val="center"/>
                </w:tcPr>
                <w:p w14:paraId="72238A5A">
                  <w:pPr>
                    <w:jc w:val="center"/>
                    <w:rPr>
                      <w:szCs w:val="21"/>
                    </w:rPr>
                  </w:pPr>
                  <w:r>
                    <w:rPr>
                      <w:rFonts w:hint="eastAsia"/>
                      <w:szCs w:val="21"/>
                    </w:rPr>
                    <w:t>44.25</w:t>
                  </w:r>
                </w:p>
              </w:tc>
              <w:tc>
                <w:tcPr>
                  <w:tcW w:w="158" w:type="pct"/>
                  <w:vAlign w:val="center"/>
                </w:tcPr>
                <w:p w14:paraId="587F84F9">
                  <w:pPr>
                    <w:jc w:val="center"/>
                    <w:rPr>
                      <w:szCs w:val="21"/>
                    </w:rPr>
                  </w:pPr>
                  <w:r>
                    <w:rPr>
                      <w:rFonts w:hint="eastAsia"/>
                      <w:szCs w:val="21"/>
                    </w:rPr>
                    <w:t>1</w:t>
                  </w:r>
                </w:p>
              </w:tc>
            </w:tr>
            <w:tr w14:paraId="30CF2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 w:type="pct"/>
                  <w:vAlign w:val="center"/>
                </w:tcPr>
                <w:p w14:paraId="0890EA5D">
                  <w:pPr>
                    <w:jc w:val="center"/>
                    <w:rPr>
                      <w:szCs w:val="21"/>
                    </w:rPr>
                  </w:pPr>
                  <w:r>
                    <w:rPr>
                      <w:rFonts w:hint="eastAsia"/>
                      <w:szCs w:val="21"/>
                    </w:rPr>
                    <w:t>7</w:t>
                  </w:r>
                </w:p>
              </w:tc>
              <w:tc>
                <w:tcPr>
                  <w:tcW w:w="158" w:type="pct"/>
                  <w:vMerge w:val="continue"/>
                  <w:vAlign w:val="center"/>
                </w:tcPr>
                <w:p w14:paraId="3A7BB3CC">
                  <w:pPr>
                    <w:jc w:val="center"/>
                    <w:rPr>
                      <w:szCs w:val="21"/>
                    </w:rPr>
                  </w:pPr>
                </w:p>
              </w:tc>
              <w:tc>
                <w:tcPr>
                  <w:tcW w:w="480" w:type="pct"/>
                  <w:vAlign w:val="center"/>
                </w:tcPr>
                <w:p w14:paraId="36AD73EC">
                  <w:pPr>
                    <w:jc w:val="center"/>
                    <w:rPr>
                      <w:szCs w:val="21"/>
                    </w:rPr>
                  </w:pPr>
                  <w:r>
                    <w:rPr>
                      <w:rFonts w:hint="eastAsia"/>
                      <w:szCs w:val="21"/>
                    </w:rPr>
                    <w:t>空压机</w:t>
                  </w:r>
                </w:p>
              </w:tc>
              <w:tc>
                <w:tcPr>
                  <w:tcW w:w="413" w:type="pct"/>
                  <w:vAlign w:val="center"/>
                </w:tcPr>
                <w:p w14:paraId="37450445">
                  <w:pPr>
                    <w:jc w:val="center"/>
                    <w:rPr>
                      <w:szCs w:val="21"/>
                    </w:rPr>
                  </w:pPr>
                  <w:r>
                    <w:rPr>
                      <w:rFonts w:hint="eastAsia"/>
                      <w:szCs w:val="21"/>
                    </w:rPr>
                    <w:t>/</w:t>
                  </w:r>
                </w:p>
              </w:tc>
              <w:tc>
                <w:tcPr>
                  <w:tcW w:w="518" w:type="pct"/>
                  <w:vAlign w:val="center"/>
                </w:tcPr>
                <w:p w14:paraId="6DC1953E">
                  <w:pPr>
                    <w:jc w:val="center"/>
                    <w:rPr>
                      <w:szCs w:val="21"/>
                    </w:rPr>
                  </w:pPr>
                  <w:r>
                    <w:rPr>
                      <w:rFonts w:hint="eastAsia"/>
                      <w:szCs w:val="21"/>
                    </w:rPr>
                    <w:t>85/1</w:t>
                  </w:r>
                </w:p>
              </w:tc>
              <w:tc>
                <w:tcPr>
                  <w:tcW w:w="297" w:type="pct"/>
                  <w:vMerge w:val="continue"/>
                  <w:vAlign w:val="center"/>
                </w:tcPr>
                <w:p w14:paraId="368764FC">
                  <w:pPr>
                    <w:jc w:val="center"/>
                    <w:rPr>
                      <w:szCs w:val="21"/>
                    </w:rPr>
                  </w:pPr>
                </w:p>
              </w:tc>
              <w:tc>
                <w:tcPr>
                  <w:tcW w:w="204" w:type="pct"/>
                  <w:vAlign w:val="center"/>
                </w:tcPr>
                <w:p w14:paraId="0339DBF6">
                  <w:pPr>
                    <w:jc w:val="center"/>
                    <w:rPr>
                      <w:szCs w:val="21"/>
                    </w:rPr>
                  </w:pPr>
                  <w:r>
                    <w:rPr>
                      <w:rFonts w:hint="eastAsia"/>
                      <w:szCs w:val="21"/>
                    </w:rPr>
                    <w:t>20</w:t>
                  </w:r>
                </w:p>
              </w:tc>
              <w:tc>
                <w:tcPr>
                  <w:tcW w:w="220" w:type="pct"/>
                  <w:vAlign w:val="center"/>
                </w:tcPr>
                <w:p w14:paraId="5DB8199F">
                  <w:pPr>
                    <w:jc w:val="center"/>
                    <w:rPr>
                      <w:szCs w:val="21"/>
                    </w:rPr>
                  </w:pPr>
                  <w:r>
                    <w:rPr>
                      <w:rFonts w:hint="eastAsia"/>
                      <w:szCs w:val="21"/>
                    </w:rPr>
                    <w:t>108</w:t>
                  </w:r>
                </w:p>
              </w:tc>
              <w:tc>
                <w:tcPr>
                  <w:tcW w:w="204" w:type="pct"/>
                  <w:vAlign w:val="center"/>
                </w:tcPr>
                <w:p w14:paraId="7ABBDDE0">
                  <w:pPr>
                    <w:jc w:val="center"/>
                    <w:rPr>
                      <w:szCs w:val="21"/>
                    </w:rPr>
                  </w:pPr>
                  <w:r>
                    <w:rPr>
                      <w:rFonts w:hint="eastAsia"/>
                      <w:szCs w:val="21"/>
                    </w:rPr>
                    <w:t>1.5</w:t>
                  </w:r>
                </w:p>
              </w:tc>
              <w:tc>
                <w:tcPr>
                  <w:tcW w:w="406" w:type="pct"/>
                  <w:vAlign w:val="center"/>
                </w:tcPr>
                <w:p w14:paraId="143BC78C">
                  <w:pPr>
                    <w:jc w:val="center"/>
                    <w:rPr>
                      <w:szCs w:val="21"/>
                    </w:rPr>
                  </w:pPr>
                  <w:r>
                    <w:rPr>
                      <w:rFonts w:hint="eastAsia"/>
                      <w:szCs w:val="21"/>
                    </w:rPr>
                    <w:t>14.16</w:t>
                  </w:r>
                </w:p>
              </w:tc>
              <w:tc>
                <w:tcPr>
                  <w:tcW w:w="567" w:type="pct"/>
                  <w:vAlign w:val="center"/>
                </w:tcPr>
                <w:p w14:paraId="5463125C">
                  <w:pPr>
                    <w:jc w:val="center"/>
                    <w:rPr>
                      <w:szCs w:val="21"/>
                    </w:rPr>
                  </w:pPr>
                  <w:r>
                    <w:rPr>
                      <w:rFonts w:hint="eastAsia"/>
                      <w:szCs w:val="21"/>
                    </w:rPr>
                    <w:t>80.33</w:t>
                  </w:r>
                </w:p>
              </w:tc>
              <w:tc>
                <w:tcPr>
                  <w:tcW w:w="556" w:type="pct"/>
                  <w:vMerge w:val="continue"/>
                  <w:vAlign w:val="center"/>
                </w:tcPr>
                <w:p w14:paraId="77C43EB7">
                  <w:pPr>
                    <w:jc w:val="center"/>
                    <w:rPr>
                      <w:szCs w:val="21"/>
                    </w:rPr>
                  </w:pPr>
                </w:p>
              </w:tc>
              <w:tc>
                <w:tcPr>
                  <w:tcW w:w="326" w:type="pct"/>
                  <w:vAlign w:val="center"/>
                </w:tcPr>
                <w:p w14:paraId="3EA6F6E1">
                  <w:pPr>
                    <w:jc w:val="center"/>
                    <w:rPr>
                      <w:szCs w:val="21"/>
                    </w:rPr>
                  </w:pPr>
                  <w:r>
                    <w:rPr>
                      <w:rFonts w:hint="eastAsia"/>
                      <w:szCs w:val="21"/>
                    </w:rPr>
                    <w:t>25</w:t>
                  </w:r>
                </w:p>
              </w:tc>
              <w:tc>
                <w:tcPr>
                  <w:tcW w:w="334" w:type="pct"/>
                  <w:vAlign w:val="center"/>
                </w:tcPr>
                <w:p w14:paraId="2659EE15">
                  <w:pPr>
                    <w:jc w:val="center"/>
                    <w:rPr>
                      <w:szCs w:val="21"/>
                    </w:rPr>
                  </w:pPr>
                  <w:r>
                    <w:rPr>
                      <w:rFonts w:hint="eastAsia"/>
                      <w:szCs w:val="21"/>
                    </w:rPr>
                    <w:t>49.25</w:t>
                  </w:r>
                </w:p>
              </w:tc>
              <w:tc>
                <w:tcPr>
                  <w:tcW w:w="158" w:type="pct"/>
                  <w:vAlign w:val="center"/>
                </w:tcPr>
                <w:p w14:paraId="630F5506">
                  <w:pPr>
                    <w:jc w:val="center"/>
                    <w:rPr>
                      <w:szCs w:val="21"/>
                    </w:rPr>
                  </w:pPr>
                  <w:r>
                    <w:rPr>
                      <w:rFonts w:hint="eastAsia"/>
                      <w:szCs w:val="21"/>
                    </w:rPr>
                    <w:t>1</w:t>
                  </w:r>
                </w:p>
              </w:tc>
            </w:tr>
            <w:tr w14:paraId="7D830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00" w:type="pct"/>
                  <w:gridSpan w:val="15"/>
                  <w:vAlign w:val="center"/>
                </w:tcPr>
                <w:p w14:paraId="0AC9DF2A">
                  <w:pPr>
                    <w:jc w:val="left"/>
                    <w:rPr>
                      <w:szCs w:val="21"/>
                    </w:rPr>
                  </w:pPr>
                  <w:r>
                    <w:rPr>
                      <w:rFonts w:eastAsia="等线"/>
                      <w:b/>
                      <w:bCs/>
                      <w:sz w:val="18"/>
                      <w:szCs w:val="18"/>
                    </w:rPr>
                    <w:t>注：以</w:t>
                  </w:r>
                  <w:r>
                    <w:rPr>
                      <w:rFonts w:hint="eastAsia" w:eastAsia="等线"/>
                      <w:b/>
                      <w:bCs/>
                      <w:sz w:val="18"/>
                      <w:szCs w:val="18"/>
                    </w:rPr>
                    <w:t>厂用地边界最靠西的拐点</w:t>
                  </w:r>
                  <w:r>
                    <w:rPr>
                      <w:rFonts w:eastAsia="等线"/>
                      <w:b/>
                      <w:bCs/>
                      <w:sz w:val="18"/>
                      <w:szCs w:val="18"/>
                    </w:rPr>
                    <w:t>为中心坐标（0,0,0），X表示以中心坐标向东，Y表示以中心坐标向北，Z表示高度</w:t>
                  </w:r>
                </w:p>
              </w:tc>
            </w:tr>
          </w:tbl>
          <w:p w14:paraId="271CCD01">
            <w:pPr>
              <w:pStyle w:val="34"/>
              <w:jc w:val="center"/>
              <w:outlineLvl w:val="0"/>
              <w:rPr>
                <w:rFonts w:hint="eastAsia" w:ascii="黑体" w:hAnsi="黑体" w:eastAsia="黑体"/>
                <w:snapToGrid w:val="0"/>
                <w:sz w:val="30"/>
                <w:szCs w:val="30"/>
              </w:rPr>
            </w:pPr>
          </w:p>
        </w:tc>
      </w:tr>
    </w:tbl>
    <w:p w14:paraId="4619D98E">
      <w:pPr>
        <w:pStyle w:val="34"/>
        <w:jc w:val="center"/>
        <w:outlineLvl w:val="0"/>
        <w:rPr>
          <w:rFonts w:hint="eastAsia" w:ascii="黑体" w:hAnsi="黑体" w:eastAsia="黑体"/>
          <w:snapToGrid w:val="0"/>
          <w:sz w:val="30"/>
          <w:szCs w:val="30"/>
        </w:rPr>
        <w:sectPr>
          <w:pgSz w:w="16838" w:h="11906" w:orient="landscape"/>
          <w:pgMar w:top="1800" w:right="1440" w:bottom="1800" w:left="1440" w:header="851" w:footer="992" w:gutter="0"/>
          <w:pgNumType w:fmt="numberInDash"/>
          <w:cols w:space="720" w:num="1"/>
          <w:docGrid w:type="lines" w:linePitch="312" w:charSpace="0"/>
        </w:sectPr>
      </w:pP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92"/>
        <w:gridCol w:w="8130"/>
      </w:tblGrid>
      <w:tr w14:paraId="4BBE8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74" w:hRule="atLeast"/>
          <w:jc w:val="center"/>
        </w:trPr>
        <w:tc>
          <w:tcPr>
            <w:tcW w:w="392" w:type="dxa"/>
          </w:tcPr>
          <w:p w14:paraId="2BE30CD1">
            <w:pPr>
              <w:adjustRightInd w:val="0"/>
              <w:snapToGrid w:val="0"/>
              <w:spacing w:line="360" w:lineRule="auto"/>
              <w:rPr>
                <w:rFonts w:hint="eastAsia" w:ascii="宋体" w:hAnsi="宋体" w:cs="宋体"/>
                <w:kern w:val="0"/>
                <w:sz w:val="24"/>
              </w:rPr>
            </w:pPr>
          </w:p>
        </w:tc>
        <w:tc>
          <w:tcPr>
            <w:tcW w:w="8130" w:type="dxa"/>
          </w:tcPr>
          <w:p w14:paraId="406F7A5A">
            <w:pPr>
              <w:spacing w:before="156" w:beforeLines="50" w:line="360" w:lineRule="auto"/>
              <w:jc w:val="center"/>
              <w:rPr>
                <w:b/>
                <w:bCs/>
                <w:szCs w:val="21"/>
              </w:rPr>
            </w:pPr>
            <w:r>
              <w:rPr>
                <w:b/>
                <w:bCs/>
                <w:szCs w:val="21"/>
              </w:rPr>
              <w:t>表4-</w:t>
            </w:r>
            <w:r>
              <w:rPr>
                <w:rFonts w:hint="eastAsia"/>
                <w:b/>
                <w:bCs/>
                <w:szCs w:val="21"/>
              </w:rPr>
              <w:t>8</w:t>
            </w:r>
            <w:r>
              <w:rPr>
                <w:b/>
                <w:bCs/>
                <w:szCs w:val="21"/>
              </w:rPr>
              <w:t xml:space="preserve">  运营期主要噪声源及噪声级</w:t>
            </w:r>
            <w:r>
              <w:rPr>
                <w:rFonts w:hint="eastAsia"/>
                <w:b/>
                <w:bCs/>
                <w:szCs w:val="21"/>
              </w:rPr>
              <w:t>（室外）</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0"/>
              <w:gridCol w:w="710"/>
              <w:gridCol w:w="1034"/>
              <w:gridCol w:w="812"/>
              <w:gridCol w:w="826"/>
              <w:gridCol w:w="809"/>
              <w:gridCol w:w="1003"/>
              <w:gridCol w:w="941"/>
              <w:gridCol w:w="1139"/>
            </w:tblGrid>
            <w:tr w14:paraId="0B703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7" w:type="pct"/>
                  <w:vMerge w:val="restart"/>
                  <w:vAlign w:val="center"/>
                </w:tcPr>
                <w:p w14:paraId="0FB5B307">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序号</w:t>
                  </w:r>
                </w:p>
              </w:tc>
              <w:tc>
                <w:tcPr>
                  <w:tcW w:w="450" w:type="pct"/>
                  <w:vMerge w:val="restart"/>
                  <w:vAlign w:val="center"/>
                </w:tcPr>
                <w:p w14:paraId="48A1CF56">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声源名称</w:t>
                  </w:r>
                </w:p>
              </w:tc>
              <w:tc>
                <w:tcPr>
                  <w:tcW w:w="656" w:type="pct"/>
                  <w:vMerge w:val="restart"/>
                  <w:vAlign w:val="center"/>
                </w:tcPr>
                <w:p w14:paraId="029BEE23">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型号</w:t>
                  </w:r>
                </w:p>
              </w:tc>
              <w:tc>
                <w:tcPr>
                  <w:tcW w:w="1552" w:type="pct"/>
                  <w:gridSpan w:val="3"/>
                  <w:vAlign w:val="center"/>
                </w:tcPr>
                <w:p w14:paraId="330B6AAA">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空间相对位置/m</w:t>
                  </w:r>
                </w:p>
              </w:tc>
              <w:tc>
                <w:tcPr>
                  <w:tcW w:w="636" w:type="pct"/>
                  <w:vMerge w:val="restart"/>
                  <w:vAlign w:val="center"/>
                </w:tcPr>
                <w:p w14:paraId="5807CD35">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声压级/距声源距离dB(A)/m</w:t>
                  </w:r>
                </w:p>
              </w:tc>
              <w:tc>
                <w:tcPr>
                  <w:tcW w:w="597" w:type="pct"/>
                  <w:vMerge w:val="restart"/>
                  <w:vAlign w:val="center"/>
                </w:tcPr>
                <w:p w14:paraId="3E5845BE">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治理</w:t>
                  </w:r>
                </w:p>
                <w:p w14:paraId="5B785B8B">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措施</w:t>
                  </w:r>
                </w:p>
              </w:tc>
              <w:tc>
                <w:tcPr>
                  <w:tcW w:w="723" w:type="pct"/>
                  <w:vMerge w:val="restart"/>
                  <w:vAlign w:val="center"/>
                </w:tcPr>
                <w:p w14:paraId="335CD550">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运行时段</w:t>
                  </w:r>
                </w:p>
              </w:tc>
            </w:tr>
            <w:tr w14:paraId="0A8DF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7" w:type="pct"/>
                  <w:vMerge w:val="continue"/>
                  <w:vAlign w:val="center"/>
                </w:tcPr>
                <w:p w14:paraId="6A9C1068">
                  <w:pPr>
                    <w:pStyle w:val="358"/>
                    <w:spacing w:line="20" w:lineRule="atLeast"/>
                    <w:jc w:val="center"/>
                    <w:rPr>
                      <w:rFonts w:ascii="Times New Roman" w:hAnsi="Times New Roman" w:cs="Times New Roman"/>
                      <w:color w:val="auto"/>
                      <w:sz w:val="21"/>
                      <w:szCs w:val="21"/>
                    </w:rPr>
                  </w:pPr>
                </w:p>
              </w:tc>
              <w:tc>
                <w:tcPr>
                  <w:tcW w:w="450" w:type="pct"/>
                  <w:vMerge w:val="continue"/>
                  <w:vAlign w:val="center"/>
                </w:tcPr>
                <w:p w14:paraId="002E5F2B">
                  <w:pPr>
                    <w:pStyle w:val="358"/>
                    <w:spacing w:line="20" w:lineRule="atLeast"/>
                    <w:jc w:val="center"/>
                    <w:rPr>
                      <w:rFonts w:ascii="Times New Roman" w:hAnsi="Times New Roman" w:cs="Times New Roman"/>
                      <w:color w:val="auto"/>
                      <w:sz w:val="21"/>
                      <w:szCs w:val="21"/>
                    </w:rPr>
                  </w:pPr>
                </w:p>
              </w:tc>
              <w:tc>
                <w:tcPr>
                  <w:tcW w:w="656" w:type="pct"/>
                  <w:vMerge w:val="continue"/>
                  <w:vAlign w:val="center"/>
                </w:tcPr>
                <w:p w14:paraId="0E05B1FE">
                  <w:pPr>
                    <w:pStyle w:val="358"/>
                    <w:spacing w:line="20" w:lineRule="atLeast"/>
                    <w:jc w:val="center"/>
                    <w:rPr>
                      <w:rFonts w:ascii="Times New Roman" w:hAnsi="Times New Roman" w:cs="Times New Roman"/>
                      <w:color w:val="auto"/>
                      <w:sz w:val="21"/>
                      <w:szCs w:val="21"/>
                    </w:rPr>
                  </w:pPr>
                </w:p>
              </w:tc>
              <w:tc>
                <w:tcPr>
                  <w:tcW w:w="515" w:type="pct"/>
                  <w:vAlign w:val="center"/>
                </w:tcPr>
                <w:p w14:paraId="0B8A07B0">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X</w:t>
                  </w:r>
                </w:p>
              </w:tc>
              <w:tc>
                <w:tcPr>
                  <w:tcW w:w="524" w:type="pct"/>
                  <w:vAlign w:val="center"/>
                </w:tcPr>
                <w:p w14:paraId="4955A570">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Y</w:t>
                  </w:r>
                </w:p>
              </w:tc>
              <w:tc>
                <w:tcPr>
                  <w:tcW w:w="513" w:type="pct"/>
                  <w:vAlign w:val="center"/>
                </w:tcPr>
                <w:p w14:paraId="75B8960D">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Z</w:t>
                  </w:r>
                </w:p>
              </w:tc>
              <w:tc>
                <w:tcPr>
                  <w:tcW w:w="636" w:type="pct"/>
                  <w:vMerge w:val="continue"/>
                  <w:vAlign w:val="center"/>
                </w:tcPr>
                <w:p w14:paraId="4561775E">
                  <w:pPr>
                    <w:pStyle w:val="358"/>
                    <w:spacing w:line="20" w:lineRule="atLeast"/>
                    <w:jc w:val="center"/>
                    <w:rPr>
                      <w:rFonts w:ascii="Times New Roman" w:hAnsi="Times New Roman" w:cs="Times New Roman"/>
                      <w:color w:val="auto"/>
                      <w:sz w:val="21"/>
                      <w:szCs w:val="21"/>
                    </w:rPr>
                  </w:pPr>
                </w:p>
              </w:tc>
              <w:tc>
                <w:tcPr>
                  <w:tcW w:w="597" w:type="pct"/>
                  <w:vMerge w:val="continue"/>
                  <w:vAlign w:val="center"/>
                </w:tcPr>
                <w:p w14:paraId="472D3AB9">
                  <w:pPr>
                    <w:pStyle w:val="358"/>
                    <w:spacing w:line="20" w:lineRule="atLeast"/>
                    <w:jc w:val="center"/>
                    <w:rPr>
                      <w:rFonts w:ascii="Times New Roman" w:hAnsi="Times New Roman" w:cs="Times New Roman"/>
                      <w:color w:val="auto"/>
                      <w:sz w:val="21"/>
                      <w:szCs w:val="21"/>
                    </w:rPr>
                  </w:pPr>
                </w:p>
              </w:tc>
              <w:tc>
                <w:tcPr>
                  <w:tcW w:w="723" w:type="pct"/>
                  <w:vMerge w:val="continue"/>
                  <w:vAlign w:val="center"/>
                </w:tcPr>
                <w:p w14:paraId="2D32A26D">
                  <w:pPr>
                    <w:pStyle w:val="358"/>
                    <w:spacing w:line="20" w:lineRule="atLeast"/>
                    <w:jc w:val="center"/>
                    <w:rPr>
                      <w:rFonts w:ascii="Times New Roman" w:hAnsi="Times New Roman" w:cs="Times New Roman"/>
                      <w:color w:val="auto"/>
                      <w:sz w:val="21"/>
                      <w:szCs w:val="21"/>
                    </w:rPr>
                  </w:pPr>
                </w:p>
              </w:tc>
            </w:tr>
            <w:tr w14:paraId="0CC02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7" w:type="pct"/>
                  <w:vAlign w:val="center"/>
                </w:tcPr>
                <w:p w14:paraId="02C58520">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450" w:type="pct"/>
                  <w:vAlign w:val="center"/>
                </w:tcPr>
                <w:p w14:paraId="6E90DDBC">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预混料提升机</w:t>
                  </w:r>
                </w:p>
              </w:tc>
              <w:tc>
                <w:tcPr>
                  <w:tcW w:w="656" w:type="pct"/>
                  <w:vAlign w:val="center"/>
                </w:tcPr>
                <w:p w14:paraId="46976F95">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NE150</w:t>
                  </w:r>
                </w:p>
              </w:tc>
              <w:tc>
                <w:tcPr>
                  <w:tcW w:w="515" w:type="pct"/>
                  <w:vAlign w:val="center"/>
                </w:tcPr>
                <w:p w14:paraId="3AA08278">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27</w:t>
                  </w:r>
                </w:p>
              </w:tc>
              <w:tc>
                <w:tcPr>
                  <w:tcW w:w="524" w:type="pct"/>
                  <w:vAlign w:val="center"/>
                </w:tcPr>
                <w:p w14:paraId="3AB9F92E">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118</w:t>
                  </w:r>
                </w:p>
              </w:tc>
              <w:tc>
                <w:tcPr>
                  <w:tcW w:w="513" w:type="pct"/>
                  <w:vAlign w:val="center"/>
                </w:tcPr>
                <w:p w14:paraId="0B992D69">
                  <w:pPr>
                    <w:spacing w:line="20" w:lineRule="atLeast"/>
                    <w:jc w:val="center"/>
                    <w:rPr>
                      <w:szCs w:val="21"/>
                    </w:rPr>
                  </w:pPr>
                  <w:r>
                    <w:rPr>
                      <w:szCs w:val="21"/>
                    </w:rPr>
                    <w:t>22</w:t>
                  </w:r>
                </w:p>
              </w:tc>
              <w:tc>
                <w:tcPr>
                  <w:tcW w:w="636" w:type="pct"/>
                  <w:vAlign w:val="center"/>
                </w:tcPr>
                <w:p w14:paraId="0E6FC481">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75/1</w:t>
                  </w:r>
                </w:p>
              </w:tc>
              <w:tc>
                <w:tcPr>
                  <w:tcW w:w="597" w:type="pct"/>
                  <w:vMerge w:val="restart"/>
                  <w:vAlign w:val="center"/>
                </w:tcPr>
                <w:p w14:paraId="70D2348B">
                  <w:pPr>
                    <w:pStyle w:val="358"/>
                    <w:spacing w:line="20" w:lineRule="atLeast"/>
                    <w:jc w:val="center"/>
                    <w:rPr>
                      <w:rFonts w:ascii="Times New Roman" w:hAnsi="Times New Roman" w:cs="Times New Roman"/>
                      <w:color w:val="auto"/>
                      <w:sz w:val="21"/>
                      <w:szCs w:val="21"/>
                    </w:rPr>
                  </w:pPr>
                  <w:r>
                    <w:rPr>
                      <w:rFonts w:ascii="Times New Roman" w:hAnsi="Times New Roman" w:cs="Times New Roman"/>
                      <w:sz w:val="21"/>
                      <w:szCs w:val="21"/>
                    </w:rPr>
                    <w:t>低噪设备、基础</w:t>
                  </w:r>
                  <w:r>
                    <w:rPr>
                      <w:rFonts w:ascii="Times New Roman" w:hAnsi="Times New Roman" w:cs="Times New Roman"/>
                      <w:color w:val="auto"/>
                      <w:sz w:val="21"/>
                      <w:szCs w:val="21"/>
                    </w:rPr>
                    <w:t>减振</w:t>
                  </w:r>
                </w:p>
              </w:tc>
              <w:tc>
                <w:tcPr>
                  <w:tcW w:w="723" w:type="pct"/>
                  <w:vMerge w:val="restart"/>
                  <w:vAlign w:val="center"/>
                </w:tcPr>
                <w:p w14:paraId="4B36B4BA">
                  <w:pPr>
                    <w:pStyle w:val="358"/>
                    <w:spacing w:line="20" w:lineRule="atLeas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7：</w:t>
                  </w:r>
                  <w:r>
                    <w:rPr>
                      <w:rFonts w:ascii="Times New Roman" w:hAnsi="Times New Roman" w:cs="Times New Roman"/>
                      <w:color w:val="auto"/>
                      <w:sz w:val="21"/>
                      <w:szCs w:val="21"/>
                    </w:rPr>
                    <w:t>00~1</w:t>
                  </w:r>
                  <w:r>
                    <w:rPr>
                      <w:rFonts w:hint="eastAsia" w:ascii="Times New Roman" w:hAnsi="Times New Roman" w:cs="Times New Roman"/>
                      <w:color w:val="auto"/>
                      <w:sz w:val="21"/>
                      <w:szCs w:val="21"/>
                    </w:rPr>
                    <w:t>7：</w:t>
                  </w:r>
                  <w:r>
                    <w:rPr>
                      <w:rFonts w:ascii="Times New Roman" w:hAnsi="Times New Roman" w:cs="Times New Roman"/>
                      <w:color w:val="auto"/>
                      <w:sz w:val="21"/>
                      <w:szCs w:val="21"/>
                    </w:rPr>
                    <w:t>00</w:t>
                  </w:r>
                </w:p>
              </w:tc>
            </w:tr>
            <w:tr w14:paraId="1DF17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7" w:type="pct"/>
                  <w:vAlign w:val="center"/>
                </w:tcPr>
                <w:p w14:paraId="42268BF4">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450" w:type="pct"/>
                  <w:vAlign w:val="center"/>
                </w:tcPr>
                <w:p w14:paraId="5BD3E821">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成品提升机</w:t>
                  </w:r>
                </w:p>
              </w:tc>
              <w:tc>
                <w:tcPr>
                  <w:tcW w:w="656" w:type="pct"/>
                  <w:vAlign w:val="center"/>
                </w:tcPr>
                <w:p w14:paraId="6B7D27AE">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NE100</w:t>
                  </w:r>
                </w:p>
              </w:tc>
              <w:tc>
                <w:tcPr>
                  <w:tcW w:w="515" w:type="pct"/>
                  <w:vAlign w:val="center"/>
                </w:tcPr>
                <w:p w14:paraId="3B683B6B">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30</w:t>
                  </w:r>
                </w:p>
              </w:tc>
              <w:tc>
                <w:tcPr>
                  <w:tcW w:w="524" w:type="pct"/>
                  <w:vAlign w:val="center"/>
                </w:tcPr>
                <w:p w14:paraId="28BC3F6E">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93</w:t>
                  </w:r>
                </w:p>
              </w:tc>
              <w:tc>
                <w:tcPr>
                  <w:tcW w:w="513" w:type="pct"/>
                  <w:vAlign w:val="center"/>
                </w:tcPr>
                <w:p w14:paraId="58DA2458">
                  <w:pPr>
                    <w:spacing w:line="20" w:lineRule="atLeast"/>
                    <w:jc w:val="center"/>
                    <w:rPr>
                      <w:szCs w:val="21"/>
                    </w:rPr>
                  </w:pPr>
                  <w:r>
                    <w:rPr>
                      <w:szCs w:val="21"/>
                    </w:rPr>
                    <w:t>21</w:t>
                  </w:r>
                </w:p>
              </w:tc>
              <w:tc>
                <w:tcPr>
                  <w:tcW w:w="636" w:type="pct"/>
                  <w:vAlign w:val="center"/>
                </w:tcPr>
                <w:p w14:paraId="43B12573">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75/1</w:t>
                  </w:r>
                </w:p>
              </w:tc>
              <w:tc>
                <w:tcPr>
                  <w:tcW w:w="597" w:type="pct"/>
                  <w:vMerge w:val="continue"/>
                  <w:vAlign w:val="center"/>
                </w:tcPr>
                <w:p w14:paraId="7DF692AD">
                  <w:pPr>
                    <w:pStyle w:val="358"/>
                    <w:spacing w:line="20" w:lineRule="atLeast"/>
                    <w:jc w:val="center"/>
                    <w:rPr>
                      <w:rFonts w:ascii="Times New Roman" w:hAnsi="Times New Roman" w:cs="Times New Roman"/>
                      <w:color w:val="auto"/>
                      <w:sz w:val="21"/>
                      <w:szCs w:val="21"/>
                    </w:rPr>
                  </w:pPr>
                </w:p>
              </w:tc>
              <w:tc>
                <w:tcPr>
                  <w:tcW w:w="723" w:type="pct"/>
                  <w:vMerge w:val="continue"/>
                  <w:vAlign w:val="center"/>
                </w:tcPr>
                <w:p w14:paraId="7765F83F">
                  <w:pPr>
                    <w:pStyle w:val="358"/>
                    <w:spacing w:line="20" w:lineRule="atLeast"/>
                    <w:jc w:val="center"/>
                    <w:rPr>
                      <w:rFonts w:ascii="Times New Roman" w:hAnsi="Times New Roman" w:cs="Times New Roman"/>
                      <w:color w:val="auto"/>
                      <w:sz w:val="21"/>
                      <w:szCs w:val="21"/>
                    </w:rPr>
                  </w:pPr>
                </w:p>
              </w:tc>
            </w:tr>
            <w:tr w14:paraId="010EE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7" w:type="pct"/>
                  <w:vAlign w:val="center"/>
                </w:tcPr>
                <w:p w14:paraId="54649D47">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450" w:type="pct"/>
                  <w:vAlign w:val="center"/>
                </w:tcPr>
                <w:p w14:paraId="32F283DC">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成品仓仓顶除尘器风机</w:t>
                  </w:r>
                </w:p>
              </w:tc>
              <w:tc>
                <w:tcPr>
                  <w:tcW w:w="656" w:type="pct"/>
                  <w:vAlign w:val="center"/>
                </w:tcPr>
                <w:p w14:paraId="1CB96B50">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N=3kw</w:t>
                  </w:r>
                </w:p>
              </w:tc>
              <w:tc>
                <w:tcPr>
                  <w:tcW w:w="515" w:type="pct"/>
                  <w:vAlign w:val="center"/>
                </w:tcPr>
                <w:p w14:paraId="10568E1E">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30</w:t>
                  </w:r>
                </w:p>
              </w:tc>
              <w:tc>
                <w:tcPr>
                  <w:tcW w:w="524" w:type="pct"/>
                  <w:vAlign w:val="center"/>
                </w:tcPr>
                <w:p w14:paraId="6396D543">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88</w:t>
                  </w:r>
                </w:p>
              </w:tc>
              <w:tc>
                <w:tcPr>
                  <w:tcW w:w="513" w:type="pct"/>
                  <w:vAlign w:val="center"/>
                </w:tcPr>
                <w:p w14:paraId="2C80464E">
                  <w:pPr>
                    <w:spacing w:line="20" w:lineRule="atLeast"/>
                    <w:jc w:val="center"/>
                    <w:rPr>
                      <w:szCs w:val="21"/>
                    </w:rPr>
                  </w:pPr>
                  <w:r>
                    <w:rPr>
                      <w:szCs w:val="21"/>
                    </w:rPr>
                    <w:t>18</w:t>
                  </w:r>
                </w:p>
              </w:tc>
              <w:tc>
                <w:tcPr>
                  <w:tcW w:w="636" w:type="pct"/>
                  <w:vAlign w:val="center"/>
                </w:tcPr>
                <w:p w14:paraId="5015E571">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70/1</w:t>
                  </w:r>
                </w:p>
              </w:tc>
              <w:tc>
                <w:tcPr>
                  <w:tcW w:w="597" w:type="pct"/>
                  <w:vMerge w:val="continue"/>
                  <w:vAlign w:val="center"/>
                </w:tcPr>
                <w:p w14:paraId="73100859">
                  <w:pPr>
                    <w:pStyle w:val="358"/>
                    <w:spacing w:line="20" w:lineRule="atLeast"/>
                    <w:jc w:val="center"/>
                    <w:rPr>
                      <w:rFonts w:ascii="Times New Roman" w:hAnsi="Times New Roman" w:cs="Times New Roman"/>
                      <w:color w:val="auto"/>
                      <w:sz w:val="21"/>
                      <w:szCs w:val="21"/>
                    </w:rPr>
                  </w:pPr>
                </w:p>
              </w:tc>
              <w:tc>
                <w:tcPr>
                  <w:tcW w:w="723" w:type="pct"/>
                  <w:vMerge w:val="continue"/>
                  <w:vAlign w:val="center"/>
                </w:tcPr>
                <w:p w14:paraId="491D388A">
                  <w:pPr>
                    <w:pStyle w:val="358"/>
                    <w:spacing w:line="20" w:lineRule="atLeast"/>
                    <w:jc w:val="center"/>
                    <w:rPr>
                      <w:rFonts w:ascii="Times New Roman" w:hAnsi="Times New Roman" w:cs="Times New Roman"/>
                      <w:color w:val="auto"/>
                      <w:sz w:val="21"/>
                      <w:szCs w:val="21"/>
                    </w:rPr>
                  </w:pPr>
                </w:p>
              </w:tc>
            </w:tr>
            <w:tr w14:paraId="637F3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7" w:type="pct"/>
                  <w:vAlign w:val="center"/>
                </w:tcPr>
                <w:p w14:paraId="342E940F">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450" w:type="pct"/>
                  <w:vAlign w:val="center"/>
                </w:tcPr>
                <w:p w14:paraId="79F2D5F1">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成品仓散装除尘器风机</w:t>
                  </w:r>
                </w:p>
              </w:tc>
              <w:tc>
                <w:tcPr>
                  <w:tcW w:w="656" w:type="pct"/>
                  <w:vAlign w:val="center"/>
                </w:tcPr>
                <w:p w14:paraId="740689BA">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N=3kw</w:t>
                  </w:r>
                </w:p>
              </w:tc>
              <w:tc>
                <w:tcPr>
                  <w:tcW w:w="515" w:type="pct"/>
                  <w:vAlign w:val="center"/>
                </w:tcPr>
                <w:p w14:paraId="39DEA0E1">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28</w:t>
                  </w:r>
                </w:p>
              </w:tc>
              <w:tc>
                <w:tcPr>
                  <w:tcW w:w="524" w:type="pct"/>
                  <w:vAlign w:val="center"/>
                </w:tcPr>
                <w:p w14:paraId="2CCE9867">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90</w:t>
                  </w:r>
                </w:p>
              </w:tc>
              <w:tc>
                <w:tcPr>
                  <w:tcW w:w="513" w:type="pct"/>
                  <w:vAlign w:val="center"/>
                </w:tcPr>
                <w:p w14:paraId="0CB977E5">
                  <w:pPr>
                    <w:spacing w:line="20" w:lineRule="atLeast"/>
                    <w:jc w:val="center"/>
                    <w:rPr>
                      <w:szCs w:val="21"/>
                    </w:rPr>
                  </w:pPr>
                  <w:r>
                    <w:rPr>
                      <w:szCs w:val="21"/>
                    </w:rPr>
                    <w:t>4</w:t>
                  </w:r>
                </w:p>
              </w:tc>
              <w:tc>
                <w:tcPr>
                  <w:tcW w:w="636" w:type="pct"/>
                  <w:vAlign w:val="center"/>
                </w:tcPr>
                <w:p w14:paraId="423942D0">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70/1</w:t>
                  </w:r>
                </w:p>
              </w:tc>
              <w:tc>
                <w:tcPr>
                  <w:tcW w:w="597" w:type="pct"/>
                  <w:vMerge w:val="continue"/>
                  <w:vAlign w:val="center"/>
                </w:tcPr>
                <w:p w14:paraId="29C50F5D">
                  <w:pPr>
                    <w:pStyle w:val="358"/>
                    <w:spacing w:line="20" w:lineRule="atLeast"/>
                    <w:jc w:val="center"/>
                    <w:rPr>
                      <w:rFonts w:ascii="Times New Roman" w:hAnsi="Times New Roman" w:cs="Times New Roman"/>
                      <w:color w:val="auto"/>
                      <w:sz w:val="21"/>
                      <w:szCs w:val="21"/>
                    </w:rPr>
                  </w:pPr>
                </w:p>
              </w:tc>
              <w:tc>
                <w:tcPr>
                  <w:tcW w:w="723" w:type="pct"/>
                  <w:vMerge w:val="continue"/>
                  <w:vAlign w:val="center"/>
                </w:tcPr>
                <w:p w14:paraId="07EB288C">
                  <w:pPr>
                    <w:pStyle w:val="358"/>
                    <w:spacing w:line="20" w:lineRule="atLeast"/>
                    <w:jc w:val="center"/>
                    <w:rPr>
                      <w:rFonts w:ascii="Times New Roman" w:hAnsi="Times New Roman" w:cs="Times New Roman"/>
                      <w:color w:val="auto"/>
                      <w:sz w:val="21"/>
                      <w:szCs w:val="21"/>
                    </w:rPr>
                  </w:pPr>
                </w:p>
              </w:tc>
            </w:tr>
            <w:tr w14:paraId="1C1D2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7" w:type="pct"/>
                  <w:vAlign w:val="center"/>
                </w:tcPr>
                <w:p w14:paraId="22F26BCE">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450" w:type="pct"/>
                  <w:vAlign w:val="center"/>
                </w:tcPr>
                <w:p w14:paraId="491E7462">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水泥粉仓仓顶除尘器风机1</w:t>
                  </w:r>
                </w:p>
              </w:tc>
              <w:tc>
                <w:tcPr>
                  <w:tcW w:w="656" w:type="pct"/>
                  <w:vAlign w:val="center"/>
                </w:tcPr>
                <w:p w14:paraId="3063B66F">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N=2.2kw</w:t>
                  </w:r>
                </w:p>
              </w:tc>
              <w:tc>
                <w:tcPr>
                  <w:tcW w:w="515" w:type="pct"/>
                  <w:vAlign w:val="center"/>
                </w:tcPr>
                <w:p w14:paraId="7C5A8A33">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18</w:t>
                  </w:r>
                </w:p>
              </w:tc>
              <w:tc>
                <w:tcPr>
                  <w:tcW w:w="524" w:type="pct"/>
                  <w:vAlign w:val="center"/>
                </w:tcPr>
                <w:p w14:paraId="3874CA7A">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114</w:t>
                  </w:r>
                </w:p>
              </w:tc>
              <w:tc>
                <w:tcPr>
                  <w:tcW w:w="513" w:type="pct"/>
                  <w:vAlign w:val="center"/>
                </w:tcPr>
                <w:p w14:paraId="73887F36">
                  <w:pPr>
                    <w:spacing w:line="20" w:lineRule="atLeast"/>
                    <w:jc w:val="center"/>
                    <w:rPr>
                      <w:szCs w:val="21"/>
                    </w:rPr>
                  </w:pPr>
                  <w:r>
                    <w:rPr>
                      <w:szCs w:val="21"/>
                    </w:rPr>
                    <w:t>29</w:t>
                  </w:r>
                </w:p>
              </w:tc>
              <w:tc>
                <w:tcPr>
                  <w:tcW w:w="636" w:type="pct"/>
                  <w:vAlign w:val="center"/>
                </w:tcPr>
                <w:p w14:paraId="5685331A">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70/1</w:t>
                  </w:r>
                </w:p>
              </w:tc>
              <w:tc>
                <w:tcPr>
                  <w:tcW w:w="597" w:type="pct"/>
                  <w:vMerge w:val="continue"/>
                  <w:vAlign w:val="center"/>
                </w:tcPr>
                <w:p w14:paraId="4F064948">
                  <w:pPr>
                    <w:pStyle w:val="358"/>
                    <w:spacing w:line="20" w:lineRule="atLeast"/>
                    <w:jc w:val="center"/>
                    <w:rPr>
                      <w:rFonts w:ascii="Times New Roman" w:hAnsi="Times New Roman" w:cs="Times New Roman"/>
                      <w:color w:val="auto"/>
                      <w:sz w:val="21"/>
                      <w:szCs w:val="21"/>
                    </w:rPr>
                  </w:pPr>
                </w:p>
              </w:tc>
              <w:tc>
                <w:tcPr>
                  <w:tcW w:w="723" w:type="pct"/>
                  <w:vMerge w:val="continue"/>
                  <w:vAlign w:val="center"/>
                </w:tcPr>
                <w:p w14:paraId="3F362B05">
                  <w:pPr>
                    <w:pStyle w:val="358"/>
                    <w:spacing w:line="20" w:lineRule="atLeast"/>
                    <w:jc w:val="center"/>
                    <w:rPr>
                      <w:rFonts w:ascii="Times New Roman" w:hAnsi="Times New Roman" w:cs="Times New Roman"/>
                      <w:color w:val="auto"/>
                      <w:sz w:val="21"/>
                      <w:szCs w:val="21"/>
                    </w:rPr>
                  </w:pPr>
                </w:p>
              </w:tc>
            </w:tr>
            <w:tr w14:paraId="219F9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7" w:type="pct"/>
                  <w:vAlign w:val="center"/>
                </w:tcPr>
                <w:p w14:paraId="264D2B23">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450" w:type="pct"/>
                  <w:vAlign w:val="center"/>
                </w:tcPr>
                <w:p w14:paraId="797CB60D">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水泥粉仓仓顶除尘器风机2</w:t>
                  </w:r>
                </w:p>
              </w:tc>
              <w:tc>
                <w:tcPr>
                  <w:tcW w:w="656" w:type="pct"/>
                  <w:vAlign w:val="center"/>
                </w:tcPr>
                <w:p w14:paraId="406116D8">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N=2.2kw</w:t>
                  </w:r>
                </w:p>
              </w:tc>
              <w:tc>
                <w:tcPr>
                  <w:tcW w:w="515" w:type="pct"/>
                  <w:vAlign w:val="center"/>
                </w:tcPr>
                <w:p w14:paraId="67B63BB3">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24</w:t>
                  </w:r>
                </w:p>
              </w:tc>
              <w:tc>
                <w:tcPr>
                  <w:tcW w:w="524" w:type="pct"/>
                  <w:vAlign w:val="center"/>
                </w:tcPr>
                <w:p w14:paraId="551D3D0F">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114</w:t>
                  </w:r>
                </w:p>
              </w:tc>
              <w:tc>
                <w:tcPr>
                  <w:tcW w:w="513" w:type="pct"/>
                  <w:vAlign w:val="center"/>
                </w:tcPr>
                <w:p w14:paraId="5DBC4C07">
                  <w:pPr>
                    <w:spacing w:line="20" w:lineRule="atLeast"/>
                    <w:jc w:val="center"/>
                    <w:rPr>
                      <w:szCs w:val="21"/>
                    </w:rPr>
                  </w:pPr>
                  <w:r>
                    <w:rPr>
                      <w:szCs w:val="21"/>
                    </w:rPr>
                    <w:t>29</w:t>
                  </w:r>
                </w:p>
              </w:tc>
              <w:tc>
                <w:tcPr>
                  <w:tcW w:w="636" w:type="pct"/>
                  <w:vAlign w:val="center"/>
                </w:tcPr>
                <w:p w14:paraId="1BBD91BF">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70/1</w:t>
                  </w:r>
                </w:p>
              </w:tc>
              <w:tc>
                <w:tcPr>
                  <w:tcW w:w="597" w:type="pct"/>
                  <w:vMerge w:val="continue"/>
                  <w:vAlign w:val="center"/>
                </w:tcPr>
                <w:p w14:paraId="528D00C3">
                  <w:pPr>
                    <w:pStyle w:val="358"/>
                    <w:spacing w:line="20" w:lineRule="atLeast"/>
                    <w:jc w:val="center"/>
                    <w:rPr>
                      <w:rFonts w:ascii="Times New Roman" w:hAnsi="Times New Roman" w:cs="Times New Roman"/>
                      <w:color w:val="auto"/>
                      <w:sz w:val="21"/>
                      <w:szCs w:val="21"/>
                    </w:rPr>
                  </w:pPr>
                </w:p>
              </w:tc>
              <w:tc>
                <w:tcPr>
                  <w:tcW w:w="723" w:type="pct"/>
                  <w:vMerge w:val="continue"/>
                  <w:vAlign w:val="center"/>
                </w:tcPr>
                <w:p w14:paraId="06631169">
                  <w:pPr>
                    <w:pStyle w:val="358"/>
                    <w:spacing w:line="20" w:lineRule="atLeast"/>
                    <w:jc w:val="center"/>
                    <w:rPr>
                      <w:rFonts w:ascii="Times New Roman" w:hAnsi="Times New Roman" w:cs="Times New Roman"/>
                      <w:color w:val="auto"/>
                      <w:sz w:val="21"/>
                      <w:szCs w:val="21"/>
                    </w:rPr>
                  </w:pPr>
                </w:p>
              </w:tc>
            </w:tr>
            <w:tr w14:paraId="2FC0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7" w:type="pct"/>
                  <w:vAlign w:val="center"/>
                </w:tcPr>
                <w:p w14:paraId="018DA55B">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450" w:type="pct"/>
                  <w:vAlign w:val="center"/>
                </w:tcPr>
                <w:p w14:paraId="320D358D">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粉煤灰粉仓仓顶除尘器风机</w:t>
                  </w:r>
                </w:p>
              </w:tc>
              <w:tc>
                <w:tcPr>
                  <w:tcW w:w="656" w:type="pct"/>
                  <w:vAlign w:val="center"/>
                </w:tcPr>
                <w:p w14:paraId="3FCC437B">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N=2.2kw</w:t>
                  </w:r>
                </w:p>
              </w:tc>
              <w:tc>
                <w:tcPr>
                  <w:tcW w:w="515" w:type="pct"/>
                  <w:vAlign w:val="center"/>
                </w:tcPr>
                <w:p w14:paraId="1A45A22F">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29</w:t>
                  </w:r>
                </w:p>
              </w:tc>
              <w:tc>
                <w:tcPr>
                  <w:tcW w:w="524" w:type="pct"/>
                  <w:vAlign w:val="center"/>
                </w:tcPr>
                <w:p w14:paraId="7C6BB4CB">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114</w:t>
                  </w:r>
                </w:p>
              </w:tc>
              <w:tc>
                <w:tcPr>
                  <w:tcW w:w="513" w:type="pct"/>
                  <w:vAlign w:val="center"/>
                </w:tcPr>
                <w:p w14:paraId="4B03DA23">
                  <w:pPr>
                    <w:spacing w:line="20" w:lineRule="atLeast"/>
                    <w:jc w:val="center"/>
                    <w:rPr>
                      <w:szCs w:val="21"/>
                    </w:rPr>
                  </w:pPr>
                  <w:r>
                    <w:rPr>
                      <w:szCs w:val="21"/>
                    </w:rPr>
                    <w:t>29</w:t>
                  </w:r>
                </w:p>
              </w:tc>
              <w:tc>
                <w:tcPr>
                  <w:tcW w:w="636" w:type="pct"/>
                  <w:vAlign w:val="center"/>
                </w:tcPr>
                <w:p w14:paraId="6DD45D6F">
                  <w:pPr>
                    <w:pStyle w:val="358"/>
                    <w:spacing w:line="20" w:lineRule="atLeast"/>
                    <w:jc w:val="center"/>
                    <w:rPr>
                      <w:rFonts w:ascii="Times New Roman" w:hAnsi="Times New Roman" w:cs="Times New Roman"/>
                      <w:color w:val="auto"/>
                      <w:sz w:val="21"/>
                      <w:szCs w:val="21"/>
                    </w:rPr>
                  </w:pPr>
                  <w:r>
                    <w:rPr>
                      <w:rFonts w:ascii="Times New Roman" w:hAnsi="Times New Roman" w:cs="Times New Roman"/>
                      <w:color w:val="auto"/>
                      <w:sz w:val="21"/>
                      <w:szCs w:val="21"/>
                    </w:rPr>
                    <w:t>70/1</w:t>
                  </w:r>
                </w:p>
              </w:tc>
              <w:tc>
                <w:tcPr>
                  <w:tcW w:w="597" w:type="pct"/>
                  <w:vMerge w:val="continue"/>
                  <w:vAlign w:val="center"/>
                </w:tcPr>
                <w:p w14:paraId="07115AAC">
                  <w:pPr>
                    <w:pStyle w:val="358"/>
                    <w:spacing w:line="20" w:lineRule="atLeast"/>
                    <w:jc w:val="center"/>
                    <w:rPr>
                      <w:rFonts w:ascii="Times New Roman" w:hAnsi="Times New Roman" w:cs="Times New Roman"/>
                      <w:color w:val="auto"/>
                      <w:sz w:val="21"/>
                      <w:szCs w:val="21"/>
                    </w:rPr>
                  </w:pPr>
                </w:p>
              </w:tc>
              <w:tc>
                <w:tcPr>
                  <w:tcW w:w="723" w:type="pct"/>
                  <w:vMerge w:val="continue"/>
                  <w:vAlign w:val="center"/>
                </w:tcPr>
                <w:p w14:paraId="3FD028F7">
                  <w:pPr>
                    <w:pStyle w:val="358"/>
                    <w:spacing w:line="20" w:lineRule="atLeast"/>
                    <w:jc w:val="center"/>
                    <w:rPr>
                      <w:rFonts w:ascii="Times New Roman" w:hAnsi="Times New Roman" w:cs="Times New Roman"/>
                      <w:color w:val="auto"/>
                      <w:sz w:val="21"/>
                      <w:szCs w:val="21"/>
                    </w:rPr>
                  </w:pPr>
                </w:p>
              </w:tc>
            </w:tr>
            <w:tr w14:paraId="776BB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00" w:type="pct"/>
                  <w:gridSpan w:val="9"/>
                  <w:vAlign w:val="center"/>
                </w:tcPr>
                <w:p w14:paraId="00452366">
                  <w:pPr>
                    <w:pStyle w:val="358"/>
                    <w:spacing w:line="20" w:lineRule="atLeast"/>
                    <w:rPr>
                      <w:rFonts w:ascii="Times New Roman" w:hAnsi="Times New Roman" w:cs="Times New Roman"/>
                      <w:color w:val="auto"/>
                      <w:sz w:val="21"/>
                      <w:szCs w:val="21"/>
                    </w:rPr>
                  </w:pPr>
                  <w:r>
                    <w:rPr>
                      <w:rFonts w:ascii="Times New Roman" w:hAnsi="Times New Roman" w:cs="Times New Roman"/>
                      <w:b/>
                      <w:bCs/>
                      <w:color w:val="auto"/>
                      <w:sz w:val="21"/>
                      <w:szCs w:val="21"/>
                    </w:rPr>
                    <w:t>注：以厂用地边界最靠西的拐点为中心坐标（0,0,0），X表示以中心坐标向东，Y表示以中心坐标向北，Z表示高度</w:t>
                  </w:r>
                </w:p>
              </w:tc>
            </w:tr>
          </w:tbl>
          <w:p w14:paraId="7B9685C6">
            <w:pPr>
              <w:pStyle w:val="38"/>
              <w:spacing w:after="0" w:line="360" w:lineRule="auto"/>
              <w:ind w:firstLine="480" w:firstLineChars="200"/>
              <w:rPr>
                <w:sz w:val="24"/>
              </w:rPr>
            </w:pPr>
            <w:r>
              <w:rPr>
                <w:rFonts w:hint="eastAsia"/>
                <w:sz w:val="24"/>
              </w:rPr>
              <w:t>预测点的A声级L</w:t>
            </w:r>
            <w:r>
              <w:rPr>
                <w:rFonts w:hint="eastAsia"/>
                <w:sz w:val="24"/>
                <w:vertAlign w:val="subscript"/>
              </w:rPr>
              <w:t>A(r)</w:t>
            </w:r>
            <w:r>
              <w:rPr>
                <w:rFonts w:hint="eastAsia"/>
                <w:sz w:val="24"/>
              </w:rPr>
              <w:t>，可利用8个倍频带的声压级按下式计算：</w:t>
            </w:r>
          </w:p>
          <w:p w14:paraId="5896E9F3">
            <w:pPr>
              <w:pStyle w:val="38"/>
              <w:spacing w:after="0" w:line="360" w:lineRule="auto"/>
              <w:ind w:firstLine="200" w:firstLineChars="0"/>
              <w:rPr>
                <w:sz w:val="24"/>
              </w:rPr>
            </w:pPr>
            <w:r>
              <w:rPr>
                <w:rFonts w:hint="eastAsia"/>
                <w:sz w:val="24"/>
              </w:rPr>
              <w:t>L</w:t>
            </w:r>
            <w:r>
              <w:rPr>
                <w:rFonts w:hint="eastAsia"/>
                <w:sz w:val="24"/>
                <w:vertAlign w:val="subscript"/>
              </w:rPr>
              <w:t>A</w:t>
            </w:r>
            <w:r>
              <w:rPr>
                <w:sz w:val="24"/>
                <w:vertAlign w:val="subscript"/>
              </w:rPr>
              <w:t>(r)</w:t>
            </w:r>
            <w:r>
              <w:rPr>
                <w:rFonts w:hint="eastAsia"/>
                <w:sz w:val="24"/>
              </w:rPr>
              <w:t>=10lg{</w:t>
            </w:r>
            <m:oMath>
              <m:nary>
                <m:naryPr>
                  <m:chr m:val="∑"/>
                  <m:limLoc m:val="undOvr"/>
                  <m:ctrlPr>
                    <w:rPr>
                      <w:rFonts w:ascii="Cambria Math" w:hAnsi="Cambria Math"/>
                      <w:i/>
                      <w:sz w:val="24"/>
                    </w:rPr>
                  </m:ctrlPr>
                </m:naryPr>
                <m:sub>
                  <m:r>
                    <m:rPr/>
                    <w:rPr>
                      <w:rFonts w:ascii="Cambria Math" w:hAnsi="Cambria Math"/>
                      <w:sz w:val="24"/>
                    </w:rPr>
                    <m:t>i</m:t>
                  </m:r>
                  <m:r>
                    <m:rPr/>
                    <w:rPr>
                      <w:rFonts w:hint="eastAsia" w:ascii="Cambria Math" w:hAnsi="Cambria Math"/>
                      <w:sz w:val="24"/>
                    </w:rPr>
                    <m:t>=</m:t>
                  </m:r>
                  <m:r>
                    <m:rPr/>
                    <w:rPr>
                      <w:rFonts w:ascii="Cambria Math" w:hAnsi="Cambria Math"/>
                      <w:sz w:val="24"/>
                    </w:rPr>
                    <m:t>0</m:t>
                  </m:r>
                  <m:ctrlPr>
                    <w:rPr>
                      <w:rFonts w:ascii="Cambria Math" w:hAnsi="Cambria Math"/>
                      <w:i/>
                      <w:sz w:val="24"/>
                    </w:rPr>
                  </m:ctrlPr>
                </m:sub>
                <m:sup>
                  <m:r>
                    <m:rPr/>
                    <w:rPr>
                      <w:rFonts w:ascii="Cambria Math" w:hAnsi="Cambria Math"/>
                      <w:sz w:val="24"/>
                    </w:rPr>
                    <m:t>8</m:t>
                  </m:r>
                  <m:ctrlPr>
                    <w:rPr>
                      <w:rFonts w:ascii="Cambria Math" w:hAnsi="Cambria Math"/>
                      <w:i/>
                      <w:sz w:val="24"/>
                    </w:rPr>
                  </m:ctrlPr>
                </m:sup>
                <m:e>
                  <m:r>
                    <m:rPr/>
                    <w:rPr>
                      <w:rFonts w:ascii="Cambria Math" w:hAnsi="Cambria Math"/>
                      <w:sz w:val="24"/>
                    </w:rPr>
                    <m:t>10</m:t>
                  </m:r>
                  <m:ctrlPr>
                    <w:rPr>
                      <w:rFonts w:ascii="Cambria Math" w:hAnsi="Cambria Math"/>
                      <w:i/>
                      <w:sz w:val="24"/>
                    </w:rPr>
                  </m:ctrlPr>
                </m:e>
              </m:nary>
            </m:oMath>
            <w:r>
              <w:rPr>
                <w:rFonts w:hint="eastAsia" w:hAnsi="Cambria Math"/>
                <w:sz w:val="24"/>
                <w:vertAlign w:val="superscript"/>
              </w:rPr>
              <w:t>[0.1LPi(r)-</w:t>
            </w:r>
            <w:r>
              <w:rPr>
                <w:rFonts w:hint="eastAsia" w:ascii="微软雅黑" w:hAnsi="微软雅黑" w:eastAsia="微软雅黑" w:cs="微软雅黑"/>
                <w:sz w:val="24"/>
                <w:vertAlign w:val="superscript"/>
              </w:rPr>
              <w:t>Δ</w:t>
            </w:r>
            <w:r>
              <w:rPr>
                <w:rFonts w:hint="eastAsia" w:hAnsi="Cambria Math"/>
                <w:sz w:val="24"/>
                <w:vertAlign w:val="superscript"/>
              </w:rPr>
              <w:t>Li]</w:t>
            </w:r>
            <w:r>
              <w:rPr>
                <w:rFonts w:hint="eastAsia"/>
                <w:sz w:val="24"/>
              </w:rPr>
              <w:t>}</w:t>
            </w:r>
          </w:p>
          <w:p w14:paraId="3099F435">
            <w:pPr>
              <w:widowControl/>
              <w:spacing w:line="360" w:lineRule="auto"/>
              <w:ind w:firstLine="480" w:firstLineChars="200"/>
              <w:rPr>
                <w:sz w:val="24"/>
              </w:rPr>
            </w:pPr>
            <w:r>
              <w:rPr>
                <w:rFonts w:hint="eastAsia"/>
                <w:sz w:val="24"/>
              </w:rPr>
              <w:t>式中：</w:t>
            </w:r>
          </w:p>
          <w:p w14:paraId="1D3A626F">
            <w:pPr>
              <w:widowControl/>
              <w:spacing w:line="360" w:lineRule="auto"/>
              <w:ind w:firstLine="480" w:firstLineChars="200"/>
              <w:rPr>
                <w:sz w:val="24"/>
              </w:rPr>
            </w:pPr>
            <w:r>
              <w:rPr>
                <w:sz w:val="24"/>
              </w:rPr>
              <w:t>Lpi</w:t>
            </w:r>
            <w:r>
              <w:rPr>
                <w:sz w:val="24"/>
                <w:vertAlign w:val="subscript"/>
              </w:rPr>
              <w:t xml:space="preserve">(r) </w:t>
            </w:r>
            <w:r>
              <w:rPr>
                <w:sz w:val="24"/>
              </w:rPr>
              <w:t>—</w:t>
            </w:r>
            <w:r>
              <w:rPr>
                <w:rFonts w:hint="eastAsia"/>
                <w:sz w:val="24"/>
              </w:rPr>
              <w:t>预测点（</w:t>
            </w:r>
            <w:r>
              <w:rPr>
                <w:sz w:val="24"/>
              </w:rPr>
              <w:t>r</w:t>
            </w:r>
            <w:r>
              <w:rPr>
                <w:rFonts w:hint="eastAsia"/>
                <w:sz w:val="24"/>
              </w:rPr>
              <w:t>）处，第</w:t>
            </w:r>
            <w:r>
              <w:rPr>
                <w:sz w:val="24"/>
              </w:rPr>
              <w:t>i</w:t>
            </w:r>
            <w:r>
              <w:rPr>
                <w:rFonts w:hint="eastAsia"/>
                <w:sz w:val="24"/>
              </w:rPr>
              <w:t>倍频带声压级，</w:t>
            </w:r>
            <w:r>
              <w:rPr>
                <w:sz w:val="24"/>
              </w:rPr>
              <w:t>dB</w:t>
            </w:r>
            <w:r>
              <w:rPr>
                <w:rFonts w:hint="eastAsia"/>
                <w:sz w:val="24"/>
              </w:rPr>
              <w:t>；</w:t>
            </w:r>
          </w:p>
          <w:p w14:paraId="63DEF33F">
            <w:pPr>
              <w:widowControl/>
              <w:spacing w:line="360" w:lineRule="auto"/>
              <w:ind w:firstLine="480" w:firstLineChars="200"/>
              <w:rPr>
                <w:sz w:val="24"/>
              </w:rPr>
            </w:pPr>
            <w:r>
              <w:rPr>
                <w:sz w:val="24"/>
              </w:rPr>
              <w:t>ΔLi—i</w:t>
            </w:r>
            <w:r>
              <w:rPr>
                <w:rFonts w:hint="eastAsia"/>
                <w:sz w:val="24"/>
              </w:rPr>
              <w:t>倍频带</w:t>
            </w:r>
            <w:r>
              <w:rPr>
                <w:sz w:val="24"/>
              </w:rPr>
              <w:t>A</w:t>
            </w:r>
            <w:r>
              <w:rPr>
                <w:rFonts w:hint="eastAsia"/>
                <w:sz w:val="24"/>
              </w:rPr>
              <w:t>计权网络修正值，</w:t>
            </w:r>
            <w:r>
              <w:rPr>
                <w:sz w:val="24"/>
              </w:rPr>
              <w:t>dB</w:t>
            </w:r>
            <w:r>
              <w:rPr>
                <w:rFonts w:hint="eastAsia"/>
                <w:sz w:val="24"/>
              </w:rPr>
              <w:t>（见附录</w:t>
            </w:r>
            <w:r>
              <w:rPr>
                <w:sz w:val="24"/>
              </w:rPr>
              <w:t>B</w:t>
            </w:r>
            <w:r>
              <w:rPr>
                <w:rFonts w:hint="eastAsia"/>
                <w:sz w:val="24"/>
              </w:rPr>
              <w:t>）。</w:t>
            </w:r>
          </w:p>
          <w:p w14:paraId="7B269731">
            <w:pPr>
              <w:widowControl/>
              <w:spacing w:line="360" w:lineRule="auto"/>
              <w:ind w:firstLine="480" w:firstLineChars="200"/>
              <w:rPr>
                <w:sz w:val="24"/>
              </w:rPr>
            </w:pPr>
            <w:r>
              <w:rPr>
                <w:rFonts w:hint="eastAsia"/>
                <w:sz w:val="24"/>
              </w:rPr>
              <w:t>经分析和预测，通过采取墙体隔声、基础减震、室内操作等噪声防治措施后，噪声可削减15~3</w:t>
            </w:r>
            <w:r>
              <w:rPr>
                <w:sz w:val="24"/>
              </w:rPr>
              <w:t>0dB</w:t>
            </w:r>
            <w:r>
              <w:rPr>
                <w:rFonts w:hint="eastAsia"/>
                <w:sz w:val="24"/>
              </w:rPr>
              <w:t>（</w:t>
            </w:r>
            <w:r>
              <w:rPr>
                <w:sz w:val="24"/>
              </w:rPr>
              <w:t>A</w:t>
            </w:r>
            <w:r>
              <w:rPr>
                <w:rFonts w:hint="eastAsia"/>
                <w:sz w:val="24"/>
              </w:rPr>
              <w:t>），再经建筑物隔声及有效的距离衰减后，噪声对厂界声环境的贡献值较小。本项目厂内车辆速度缓慢且运输距离较短，故不考虑运输噪声。厂界噪声预测结果见表</w:t>
            </w:r>
            <w:r>
              <w:rPr>
                <w:sz w:val="24"/>
              </w:rPr>
              <w:t>4-</w:t>
            </w:r>
            <w:r>
              <w:rPr>
                <w:rFonts w:hint="eastAsia"/>
                <w:sz w:val="24"/>
              </w:rPr>
              <w:t>9。</w:t>
            </w:r>
          </w:p>
          <w:p w14:paraId="128334CE">
            <w:pPr>
              <w:spacing w:line="360" w:lineRule="auto"/>
              <w:jc w:val="center"/>
              <w:rPr>
                <w:rFonts w:cs="黑体"/>
                <w:b/>
                <w:bCs/>
                <w:kern w:val="0"/>
                <w:szCs w:val="21"/>
                <w:lang w:bidi="ar"/>
              </w:rPr>
            </w:pPr>
            <w:r>
              <w:rPr>
                <w:rFonts w:cs="黑体"/>
                <w:b/>
                <w:bCs/>
                <w:kern w:val="0"/>
                <w:szCs w:val="21"/>
                <w:lang w:bidi="ar"/>
              </w:rPr>
              <w:t>表</w:t>
            </w:r>
            <w:r>
              <w:rPr>
                <w:rFonts w:hint="eastAsia" w:cs="黑体"/>
                <w:b/>
                <w:bCs/>
                <w:kern w:val="0"/>
                <w:szCs w:val="21"/>
                <w:lang w:bidi="ar"/>
              </w:rPr>
              <w:t>4</w:t>
            </w:r>
            <w:r>
              <w:rPr>
                <w:rFonts w:cs="黑体"/>
                <w:b/>
                <w:bCs/>
                <w:kern w:val="0"/>
                <w:szCs w:val="21"/>
                <w:lang w:bidi="ar"/>
              </w:rPr>
              <w:t>-</w:t>
            </w:r>
            <w:r>
              <w:rPr>
                <w:rFonts w:hint="eastAsia" w:cs="黑体"/>
                <w:b/>
                <w:bCs/>
                <w:kern w:val="0"/>
                <w:szCs w:val="21"/>
                <w:lang w:bidi="ar"/>
              </w:rPr>
              <w:t>9</w:t>
            </w:r>
            <w:r>
              <w:rPr>
                <w:rFonts w:cs="黑体"/>
                <w:b/>
                <w:bCs/>
                <w:kern w:val="0"/>
                <w:szCs w:val="21"/>
                <w:lang w:bidi="ar"/>
              </w:rPr>
              <w:t xml:space="preserve">  </w:t>
            </w:r>
            <w:r>
              <w:rPr>
                <w:rFonts w:hint="eastAsia" w:cs="黑体"/>
                <w:b/>
                <w:bCs/>
                <w:kern w:val="0"/>
                <w:szCs w:val="21"/>
                <w:lang w:bidi="ar"/>
              </w:rPr>
              <w:t>运营期厂界噪声预测结果 单位：</w:t>
            </w:r>
            <w:r>
              <w:rPr>
                <w:rFonts w:cs="黑体"/>
                <w:b/>
                <w:bCs/>
                <w:kern w:val="0"/>
                <w:szCs w:val="21"/>
                <w:lang w:bidi="ar"/>
              </w:rPr>
              <w:t>dB(A)</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77"/>
              <w:gridCol w:w="2203"/>
              <w:gridCol w:w="1435"/>
              <w:gridCol w:w="1079"/>
              <w:gridCol w:w="1790"/>
            </w:tblGrid>
            <w:tr w14:paraId="31F11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restart"/>
                  <w:vAlign w:val="center"/>
                </w:tcPr>
                <w:p w14:paraId="4E8D7C01">
                  <w:pPr>
                    <w:snapToGrid w:val="0"/>
                    <w:jc w:val="center"/>
                    <w:rPr>
                      <w:szCs w:val="21"/>
                    </w:rPr>
                  </w:pPr>
                  <w:r>
                    <w:rPr>
                      <w:rFonts w:hint="eastAsia"/>
                      <w:szCs w:val="21"/>
                    </w:rPr>
                    <w:t>厂区</w:t>
                  </w:r>
                </w:p>
              </w:tc>
              <w:tc>
                <w:tcPr>
                  <w:tcW w:w="1397" w:type="pct"/>
                  <w:vMerge w:val="restart"/>
                  <w:vAlign w:val="center"/>
                </w:tcPr>
                <w:p w14:paraId="24DB22E8">
                  <w:pPr>
                    <w:snapToGrid w:val="0"/>
                    <w:jc w:val="center"/>
                    <w:rPr>
                      <w:szCs w:val="21"/>
                    </w:rPr>
                  </w:pPr>
                  <w:r>
                    <w:rPr>
                      <w:rFonts w:hint="eastAsia"/>
                      <w:szCs w:val="21"/>
                    </w:rPr>
                    <w:t>预测点位</w:t>
                  </w:r>
                </w:p>
              </w:tc>
              <w:tc>
                <w:tcPr>
                  <w:tcW w:w="910" w:type="pct"/>
                  <w:vAlign w:val="center"/>
                </w:tcPr>
                <w:p w14:paraId="05D6F161">
                  <w:pPr>
                    <w:snapToGrid w:val="0"/>
                    <w:jc w:val="center"/>
                    <w:rPr>
                      <w:szCs w:val="21"/>
                    </w:rPr>
                  </w:pPr>
                  <w:r>
                    <w:rPr>
                      <w:rFonts w:hint="eastAsia"/>
                      <w:szCs w:val="21"/>
                    </w:rPr>
                    <w:t>贡献值</w:t>
                  </w:r>
                </w:p>
              </w:tc>
              <w:tc>
                <w:tcPr>
                  <w:tcW w:w="684" w:type="pct"/>
                  <w:vAlign w:val="center"/>
                </w:tcPr>
                <w:p w14:paraId="21F6DA93">
                  <w:pPr>
                    <w:snapToGrid w:val="0"/>
                    <w:jc w:val="center"/>
                    <w:rPr>
                      <w:szCs w:val="21"/>
                    </w:rPr>
                  </w:pPr>
                  <w:r>
                    <w:rPr>
                      <w:rFonts w:hint="eastAsia"/>
                      <w:szCs w:val="21"/>
                    </w:rPr>
                    <w:t>标准</w:t>
                  </w:r>
                </w:p>
              </w:tc>
              <w:tc>
                <w:tcPr>
                  <w:tcW w:w="1135" w:type="pct"/>
                  <w:vAlign w:val="center"/>
                </w:tcPr>
                <w:p w14:paraId="162C060F">
                  <w:pPr>
                    <w:snapToGrid w:val="0"/>
                    <w:jc w:val="center"/>
                    <w:rPr>
                      <w:szCs w:val="21"/>
                    </w:rPr>
                  </w:pPr>
                  <w:r>
                    <w:rPr>
                      <w:rFonts w:hint="eastAsia"/>
                      <w:szCs w:val="21"/>
                    </w:rPr>
                    <w:t>达标情况</w:t>
                  </w:r>
                </w:p>
              </w:tc>
            </w:tr>
            <w:tr w14:paraId="37B70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continue"/>
                  <w:vAlign w:val="center"/>
                </w:tcPr>
                <w:p w14:paraId="097DA1CD">
                  <w:pPr>
                    <w:snapToGrid w:val="0"/>
                    <w:jc w:val="center"/>
                    <w:rPr>
                      <w:szCs w:val="21"/>
                    </w:rPr>
                  </w:pPr>
                </w:p>
              </w:tc>
              <w:tc>
                <w:tcPr>
                  <w:tcW w:w="1397" w:type="pct"/>
                  <w:vMerge w:val="continue"/>
                  <w:vAlign w:val="center"/>
                </w:tcPr>
                <w:p w14:paraId="33B4E820">
                  <w:pPr>
                    <w:snapToGrid w:val="0"/>
                    <w:jc w:val="center"/>
                    <w:rPr>
                      <w:szCs w:val="21"/>
                    </w:rPr>
                  </w:pPr>
                </w:p>
              </w:tc>
              <w:tc>
                <w:tcPr>
                  <w:tcW w:w="910" w:type="pct"/>
                  <w:vAlign w:val="center"/>
                </w:tcPr>
                <w:p w14:paraId="3E39E55F">
                  <w:pPr>
                    <w:snapToGrid w:val="0"/>
                    <w:jc w:val="center"/>
                    <w:rPr>
                      <w:szCs w:val="21"/>
                    </w:rPr>
                  </w:pPr>
                  <w:r>
                    <w:rPr>
                      <w:rFonts w:hint="eastAsia"/>
                      <w:szCs w:val="21"/>
                    </w:rPr>
                    <w:t>昼间</w:t>
                  </w:r>
                </w:p>
              </w:tc>
              <w:tc>
                <w:tcPr>
                  <w:tcW w:w="684" w:type="pct"/>
                  <w:vAlign w:val="center"/>
                </w:tcPr>
                <w:p w14:paraId="4E214DDE">
                  <w:pPr>
                    <w:snapToGrid w:val="0"/>
                    <w:jc w:val="center"/>
                    <w:rPr>
                      <w:szCs w:val="21"/>
                    </w:rPr>
                  </w:pPr>
                  <w:r>
                    <w:rPr>
                      <w:rFonts w:hint="eastAsia"/>
                      <w:szCs w:val="21"/>
                    </w:rPr>
                    <w:t>昼间</w:t>
                  </w:r>
                </w:p>
              </w:tc>
              <w:tc>
                <w:tcPr>
                  <w:tcW w:w="1135" w:type="pct"/>
                  <w:vAlign w:val="center"/>
                </w:tcPr>
                <w:p w14:paraId="6EB52E1D">
                  <w:pPr>
                    <w:snapToGrid w:val="0"/>
                    <w:jc w:val="center"/>
                    <w:rPr>
                      <w:szCs w:val="21"/>
                    </w:rPr>
                  </w:pPr>
                  <w:r>
                    <w:rPr>
                      <w:rFonts w:hint="eastAsia"/>
                      <w:szCs w:val="21"/>
                    </w:rPr>
                    <w:t>昼间</w:t>
                  </w:r>
                </w:p>
              </w:tc>
            </w:tr>
            <w:tr w14:paraId="5F79A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restart"/>
                  <w:vAlign w:val="center"/>
                </w:tcPr>
                <w:p w14:paraId="02AF3201">
                  <w:pPr>
                    <w:snapToGrid w:val="0"/>
                    <w:jc w:val="center"/>
                    <w:rPr>
                      <w:szCs w:val="21"/>
                    </w:rPr>
                  </w:pPr>
                  <w:r>
                    <w:rPr>
                      <w:rFonts w:hint="eastAsia"/>
                      <w:szCs w:val="21"/>
                    </w:rPr>
                    <w:t>西侧厂区</w:t>
                  </w:r>
                </w:p>
              </w:tc>
              <w:tc>
                <w:tcPr>
                  <w:tcW w:w="1397" w:type="pct"/>
                  <w:vAlign w:val="center"/>
                </w:tcPr>
                <w:p w14:paraId="161DF648">
                  <w:pPr>
                    <w:snapToGrid w:val="0"/>
                    <w:jc w:val="center"/>
                    <w:rPr>
                      <w:szCs w:val="21"/>
                    </w:rPr>
                  </w:pPr>
                  <w:r>
                    <w:rPr>
                      <w:rFonts w:hint="eastAsia"/>
                      <w:szCs w:val="21"/>
                    </w:rPr>
                    <w:t>北厂界</w:t>
                  </w:r>
                </w:p>
              </w:tc>
              <w:tc>
                <w:tcPr>
                  <w:tcW w:w="910" w:type="pct"/>
                  <w:vAlign w:val="center"/>
                </w:tcPr>
                <w:p w14:paraId="167DD831">
                  <w:pPr>
                    <w:jc w:val="center"/>
                    <w:rPr>
                      <w:szCs w:val="21"/>
                    </w:rPr>
                  </w:pPr>
                  <w:r>
                    <w:rPr>
                      <w:szCs w:val="21"/>
                    </w:rPr>
                    <w:t>46.59</w:t>
                  </w:r>
                </w:p>
              </w:tc>
              <w:tc>
                <w:tcPr>
                  <w:tcW w:w="684" w:type="pct"/>
                  <w:vMerge w:val="restart"/>
                  <w:vAlign w:val="center"/>
                </w:tcPr>
                <w:p w14:paraId="74DB8479">
                  <w:pPr>
                    <w:snapToGrid w:val="0"/>
                    <w:jc w:val="center"/>
                    <w:rPr>
                      <w:szCs w:val="21"/>
                    </w:rPr>
                  </w:pPr>
                  <w:r>
                    <w:rPr>
                      <w:szCs w:val="21"/>
                    </w:rPr>
                    <w:t>60</w:t>
                  </w:r>
                </w:p>
              </w:tc>
              <w:tc>
                <w:tcPr>
                  <w:tcW w:w="1135" w:type="pct"/>
                  <w:vAlign w:val="center"/>
                </w:tcPr>
                <w:p w14:paraId="24760A66">
                  <w:pPr>
                    <w:snapToGrid w:val="0"/>
                    <w:jc w:val="center"/>
                    <w:rPr>
                      <w:szCs w:val="21"/>
                    </w:rPr>
                  </w:pPr>
                  <w:r>
                    <w:rPr>
                      <w:rFonts w:hint="eastAsia"/>
                      <w:szCs w:val="21"/>
                    </w:rPr>
                    <w:t>达标</w:t>
                  </w:r>
                </w:p>
              </w:tc>
            </w:tr>
            <w:tr w14:paraId="5B831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continue"/>
                  <w:vAlign w:val="center"/>
                </w:tcPr>
                <w:p w14:paraId="595606F9">
                  <w:pPr>
                    <w:snapToGrid w:val="0"/>
                    <w:jc w:val="center"/>
                    <w:rPr>
                      <w:szCs w:val="21"/>
                    </w:rPr>
                  </w:pPr>
                </w:p>
              </w:tc>
              <w:tc>
                <w:tcPr>
                  <w:tcW w:w="1397" w:type="pct"/>
                  <w:vAlign w:val="center"/>
                </w:tcPr>
                <w:p w14:paraId="54565659">
                  <w:pPr>
                    <w:snapToGrid w:val="0"/>
                    <w:jc w:val="center"/>
                    <w:rPr>
                      <w:szCs w:val="21"/>
                    </w:rPr>
                  </w:pPr>
                  <w:r>
                    <w:rPr>
                      <w:rFonts w:hint="eastAsia"/>
                      <w:szCs w:val="21"/>
                    </w:rPr>
                    <w:t>南厂界</w:t>
                  </w:r>
                </w:p>
              </w:tc>
              <w:tc>
                <w:tcPr>
                  <w:tcW w:w="910" w:type="pct"/>
                  <w:vAlign w:val="center"/>
                </w:tcPr>
                <w:p w14:paraId="0F3B70A6">
                  <w:pPr>
                    <w:jc w:val="center"/>
                    <w:rPr>
                      <w:szCs w:val="21"/>
                    </w:rPr>
                  </w:pPr>
                  <w:r>
                    <w:rPr>
                      <w:szCs w:val="21"/>
                    </w:rPr>
                    <w:t>48.78</w:t>
                  </w:r>
                </w:p>
              </w:tc>
              <w:tc>
                <w:tcPr>
                  <w:tcW w:w="684" w:type="pct"/>
                  <w:vMerge w:val="continue"/>
                  <w:vAlign w:val="center"/>
                </w:tcPr>
                <w:p w14:paraId="765D3B63">
                  <w:pPr>
                    <w:snapToGrid w:val="0"/>
                    <w:jc w:val="center"/>
                    <w:rPr>
                      <w:szCs w:val="21"/>
                    </w:rPr>
                  </w:pPr>
                </w:p>
              </w:tc>
              <w:tc>
                <w:tcPr>
                  <w:tcW w:w="1135" w:type="pct"/>
                  <w:vAlign w:val="center"/>
                </w:tcPr>
                <w:p w14:paraId="71BC2FCF">
                  <w:pPr>
                    <w:snapToGrid w:val="0"/>
                    <w:jc w:val="center"/>
                    <w:rPr>
                      <w:szCs w:val="21"/>
                    </w:rPr>
                  </w:pPr>
                  <w:r>
                    <w:rPr>
                      <w:rFonts w:hint="eastAsia"/>
                      <w:szCs w:val="21"/>
                    </w:rPr>
                    <w:t>达标</w:t>
                  </w:r>
                </w:p>
              </w:tc>
            </w:tr>
            <w:tr w14:paraId="6E565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continue"/>
                  <w:vAlign w:val="center"/>
                </w:tcPr>
                <w:p w14:paraId="4F6E779D">
                  <w:pPr>
                    <w:snapToGrid w:val="0"/>
                    <w:jc w:val="center"/>
                    <w:rPr>
                      <w:kern w:val="0"/>
                      <w:szCs w:val="21"/>
                    </w:rPr>
                  </w:pPr>
                </w:p>
              </w:tc>
              <w:tc>
                <w:tcPr>
                  <w:tcW w:w="1397" w:type="pct"/>
                  <w:vAlign w:val="center"/>
                </w:tcPr>
                <w:p w14:paraId="5BEF974D">
                  <w:pPr>
                    <w:snapToGrid w:val="0"/>
                    <w:jc w:val="center"/>
                    <w:rPr>
                      <w:szCs w:val="21"/>
                    </w:rPr>
                  </w:pPr>
                  <w:r>
                    <w:rPr>
                      <w:rFonts w:hint="eastAsia"/>
                      <w:kern w:val="0"/>
                      <w:szCs w:val="21"/>
                    </w:rPr>
                    <w:t>西</w:t>
                  </w:r>
                  <w:r>
                    <w:rPr>
                      <w:rFonts w:hint="eastAsia"/>
                      <w:szCs w:val="21"/>
                    </w:rPr>
                    <w:t>厂界</w:t>
                  </w:r>
                </w:p>
              </w:tc>
              <w:tc>
                <w:tcPr>
                  <w:tcW w:w="910" w:type="pct"/>
                  <w:vAlign w:val="center"/>
                </w:tcPr>
                <w:p w14:paraId="118C59F0">
                  <w:pPr>
                    <w:jc w:val="center"/>
                    <w:rPr>
                      <w:szCs w:val="21"/>
                    </w:rPr>
                  </w:pPr>
                  <w:r>
                    <w:rPr>
                      <w:szCs w:val="21"/>
                    </w:rPr>
                    <w:t>54.85</w:t>
                  </w:r>
                </w:p>
              </w:tc>
              <w:tc>
                <w:tcPr>
                  <w:tcW w:w="684" w:type="pct"/>
                  <w:vMerge w:val="continue"/>
                  <w:vAlign w:val="center"/>
                </w:tcPr>
                <w:p w14:paraId="5063146B">
                  <w:pPr>
                    <w:snapToGrid w:val="0"/>
                    <w:jc w:val="center"/>
                    <w:rPr>
                      <w:szCs w:val="21"/>
                    </w:rPr>
                  </w:pPr>
                </w:p>
              </w:tc>
              <w:tc>
                <w:tcPr>
                  <w:tcW w:w="1135" w:type="pct"/>
                  <w:vAlign w:val="center"/>
                </w:tcPr>
                <w:p w14:paraId="04132A9C">
                  <w:pPr>
                    <w:snapToGrid w:val="0"/>
                    <w:jc w:val="center"/>
                    <w:rPr>
                      <w:szCs w:val="21"/>
                    </w:rPr>
                  </w:pPr>
                  <w:r>
                    <w:rPr>
                      <w:rFonts w:hint="eastAsia"/>
                      <w:szCs w:val="21"/>
                    </w:rPr>
                    <w:t>达标</w:t>
                  </w:r>
                </w:p>
              </w:tc>
            </w:tr>
            <w:tr w14:paraId="0BFBE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continue"/>
                  <w:vAlign w:val="center"/>
                </w:tcPr>
                <w:p w14:paraId="0289D217">
                  <w:pPr>
                    <w:snapToGrid w:val="0"/>
                    <w:jc w:val="center"/>
                    <w:rPr>
                      <w:kern w:val="0"/>
                      <w:szCs w:val="21"/>
                    </w:rPr>
                  </w:pPr>
                </w:p>
              </w:tc>
              <w:tc>
                <w:tcPr>
                  <w:tcW w:w="1397" w:type="pct"/>
                  <w:vAlign w:val="center"/>
                </w:tcPr>
                <w:p w14:paraId="7C4D77C5">
                  <w:pPr>
                    <w:snapToGrid w:val="0"/>
                    <w:jc w:val="center"/>
                    <w:rPr>
                      <w:szCs w:val="21"/>
                    </w:rPr>
                  </w:pPr>
                  <w:r>
                    <w:rPr>
                      <w:rFonts w:hint="eastAsia"/>
                      <w:kern w:val="0"/>
                      <w:szCs w:val="21"/>
                    </w:rPr>
                    <w:t>东厂界</w:t>
                  </w:r>
                </w:p>
              </w:tc>
              <w:tc>
                <w:tcPr>
                  <w:tcW w:w="910" w:type="pct"/>
                  <w:vAlign w:val="center"/>
                </w:tcPr>
                <w:p w14:paraId="42F8C258">
                  <w:pPr>
                    <w:jc w:val="center"/>
                    <w:rPr>
                      <w:szCs w:val="21"/>
                    </w:rPr>
                  </w:pPr>
                  <w:r>
                    <w:rPr>
                      <w:szCs w:val="21"/>
                    </w:rPr>
                    <w:t>55.18</w:t>
                  </w:r>
                </w:p>
              </w:tc>
              <w:tc>
                <w:tcPr>
                  <w:tcW w:w="684" w:type="pct"/>
                  <w:vMerge w:val="continue"/>
                  <w:vAlign w:val="center"/>
                </w:tcPr>
                <w:p w14:paraId="5C448B99">
                  <w:pPr>
                    <w:snapToGrid w:val="0"/>
                    <w:jc w:val="center"/>
                    <w:rPr>
                      <w:szCs w:val="21"/>
                    </w:rPr>
                  </w:pPr>
                </w:p>
              </w:tc>
              <w:tc>
                <w:tcPr>
                  <w:tcW w:w="1135" w:type="pct"/>
                  <w:vAlign w:val="center"/>
                </w:tcPr>
                <w:p w14:paraId="4CAC606C">
                  <w:pPr>
                    <w:snapToGrid w:val="0"/>
                    <w:jc w:val="center"/>
                    <w:rPr>
                      <w:szCs w:val="21"/>
                    </w:rPr>
                  </w:pPr>
                  <w:r>
                    <w:rPr>
                      <w:rFonts w:hint="eastAsia"/>
                      <w:szCs w:val="21"/>
                    </w:rPr>
                    <w:t>达标</w:t>
                  </w:r>
                </w:p>
              </w:tc>
            </w:tr>
            <w:tr w14:paraId="101F0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restart"/>
                  <w:vAlign w:val="center"/>
                </w:tcPr>
                <w:p w14:paraId="591B1BBB">
                  <w:pPr>
                    <w:snapToGrid w:val="0"/>
                    <w:jc w:val="center"/>
                    <w:rPr>
                      <w:kern w:val="0"/>
                      <w:szCs w:val="21"/>
                    </w:rPr>
                  </w:pPr>
                  <w:r>
                    <w:rPr>
                      <w:rFonts w:hint="eastAsia"/>
                      <w:kern w:val="0"/>
                      <w:szCs w:val="21"/>
                    </w:rPr>
                    <w:t>东侧厂区</w:t>
                  </w:r>
                </w:p>
              </w:tc>
              <w:tc>
                <w:tcPr>
                  <w:tcW w:w="1397" w:type="pct"/>
                  <w:vAlign w:val="center"/>
                </w:tcPr>
                <w:p w14:paraId="0003B213">
                  <w:pPr>
                    <w:snapToGrid w:val="0"/>
                    <w:jc w:val="center"/>
                    <w:rPr>
                      <w:kern w:val="0"/>
                      <w:szCs w:val="21"/>
                    </w:rPr>
                  </w:pPr>
                  <w:r>
                    <w:rPr>
                      <w:rFonts w:hint="eastAsia"/>
                      <w:szCs w:val="21"/>
                    </w:rPr>
                    <w:t>北厂界</w:t>
                  </w:r>
                </w:p>
              </w:tc>
              <w:tc>
                <w:tcPr>
                  <w:tcW w:w="910" w:type="pct"/>
                  <w:vAlign w:val="center"/>
                </w:tcPr>
                <w:p w14:paraId="28D32DEA">
                  <w:pPr>
                    <w:jc w:val="center"/>
                    <w:rPr>
                      <w:szCs w:val="21"/>
                    </w:rPr>
                  </w:pPr>
                  <w:r>
                    <w:rPr>
                      <w:szCs w:val="21"/>
                    </w:rPr>
                    <w:t>36.64</w:t>
                  </w:r>
                </w:p>
              </w:tc>
              <w:tc>
                <w:tcPr>
                  <w:tcW w:w="684" w:type="pct"/>
                  <w:vMerge w:val="continue"/>
                  <w:vAlign w:val="center"/>
                </w:tcPr>
                <w:p w14:paraId="48952786">
                  <w:pPr>
                    <w:snapToGrid w:val="0"/>
                    <w:jc w:val="center"/>
                    <w:rPr>
                      <w:szCs w:val="21"/>
                    </w:rPr>
                  </w:pPr>
                </w:p>
              </w:tc>
              <w:tc>
                <w:tcPr>
                  <w:tcW w:w="1135" w:type="pct"/>
                  <w:vAlign w:val="center"/>
                </w:tcPr>
                <w:p w14:paraId="1D1A2C37">
                  <w:pPr>
                    <w:snapToGrid w:val="0"/>
                    <w:jc w:val="center"/>
                    <w:rPr>
                      <w:szCs w:val="21"/>
                    </w:rPr>
                  </w:pPr>
                  <w:r>
                    <w:rPr>
                      <w:rFonts w:hint="eastAsia"/>
                      <w:szCs w:val="21"/>
                    </w:rPr>
                    <w:t>达标</w:t>
                  </w:r>
                </w:p>
              </w:tc>
            </w:tr>
            <w:tr w14:paraId="7FC5B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continue"/>
                  <w:vAlign w:val="center"/>
                </w:tcPr>
                <w:p w14:paraId="11066AF5">
                  <w:pPr>
                    <w:snapToGrid w:val="0"/>
                    <w:jc w:val="center"/>
                    <w:rPr>
                      <w:kern w:val="0"/>
                      <w:szCs w:val="21"/>
                    </w:rPr>
                  </w:pPr>
                </w:p>
              </w:tc>
              <w:tc>
                <w:tcPr>
                  <w:tcW w:w="1397" w:type="pct"/>
                  <w:vAlign w:val="center"/>
                </w:tcPr>
                <w:p w14:paraId="3E4202BC">
                  <w:pPr>
                    <w:snapToGrid w:val="0"/>
                    <w:jc w:val="center"/>
                    <w:rPr>
                      <w:kern w:val="0"/>
                      <w:szCs w:val="21"/>
                    </w:rPr>
                  </w:pPr>
                  <w:r>
                    <w:rPr>
                      <w:rFonts w:hint="eastAsia"/>
                      <w:szCs w:val="21"/>
                    </w:rPr>
                    <w:t>南厂界</w:t>
                  </w:r>
                </w:p>
              </w:tc>
              <w:tc>
                <w:tcPr>
                  <w:tcW w:w="910" w:type="pct"/>
                  <w:vAlign w:val="center"/>
                </w:tcPr>
                <w:p w14:paraId="056FB5F3">
                  <w:pPr>
                    <w:jc w:val="center"/>
                    <w:rPr>
                      <w:szCs w:val="21"/>
                    </w:rPr>
                  </w:pPr>
                  <w:r>
                    <w:rPr>
                      <w:szCs w:val="21"/>
                    </w:rPr>
                    <w:t>37.16</w:t>
                  </w:r>
                </w:p>
              </w:tc>
              <w:tc>
                <w:tcPr>
                  <w:tcW w:w="684" w:type="pct"/>
                  <w:vMerge w:val="continue"/>
                  <w:vAlign w:val="center"/>
                </w:tcPr>
                <w:p w14:paraId="29A3E1FA">
                  <w:pPr>
                    <w:snapToGrid w:val="0"/>
                    <w:jc w:val="center"/>
                    <w:rPr>
                      <w:szCs w:val="21"/>
                    </w:rPr>
                  </w:pPr>
                </w:p>
              </w:tc>
              <w:tc>
                <w:tcPr>
                  <w:tcW w:w="1135" w:type="pct"/>
                  <w:vAlign w:val="center"/>
                </w:tcPr>
                <w:p w14:paraId="0F20FE3A">
                  <w:pPr>
                    <w:snapToGrid w:val="0"/>
                    <w:jc w:val="center"/>
                    <w:rPr>
                      <w:szCs w:val="21"/>
                    </w:rPr>
                  </w:pPr>
                  <w:r>
                    <w:rPr>
                      <w:rFonts w:hint="eastAsia"/>
                      <w:szCs w:val="21"/>
                    </w:rPr>
                    <w:t>达标</w:t>
                  </w:r>
                </w:p>
              </w:tc>
            </w:tr>
            <w:tr w14:paraId="2CEDF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continue"/>
                  <w:vAlign w:val="center"/>
                </w:tcPr>
                <w:p w14:paraId="5F4BD616">
                  <w:pPr>
                    <w:snapToGrid w:val="0"/>
                    <w:jc w:val="center"/>
                    <w:rPr>
                      <w:kern w:val="0"/>
                      <w:szCs w:val="21"/>
                    </w:rPr>
                  </w:pPr>
                </w:p>
              </w:tc>
              <w:tc>
                <w:tcPr>
                  <w:tcW w:w="1397" w:type="pct"/>
                  <w:vAlign w:val="center"/>
                </w:tcPr>
                <w:p w14:paraId="7B60FE34">
                  <w:pPr>
                    <w:snapToGrid w:val="0"/>
                    <w:jc w:val="center"/>
                    <w:rPr>
                      <w:kern w:val="0"/>
                      <w:szCs w:val="21"/>
                    </w:rPr>
                  </w:pPr>
                  <w:r>
                    <w:rPr>
                      <w:rFonts w:hint="eastAsia"/>
                      <w:kern w:val="0"/>
                      <w:szCs w:val="21"/>
                    </w:rPr>
                    <w:t>西</w:t>
                  </w:r>
                  <w:r>
                    <w:rPr>
                      <w:rFonts w:hint="eastAsia"/>
                      <w:szCs w:val="21"/>
                    </w:rPr>
                    <w:t>厂界</w:t>
                  </w:r>
                </w:p>
              </w:tc>
              <w:tc>
                <w:tcPr>
                  <w:tcW w:w="910" w:type="pct"/>
                  <w:vAlign w:val="center"/>
                </w:tcPr>
                <w:p w14:paraId="53050687">
                  <w:pPr>
                    <w:jc w:val="center"/>
                    <w:rPr>
                      <w:szCs w:val="21"/>
                    </w:rPr>
                  </w:pPr>
                  <w:r>
                    <w:rPr>
                      <w:szCs w:val="21"/>
                    </w:rPr>
                    <w:t>37.75</w:t>
                  </w:r>
                </w:p>
              </w:tc>
              <w:tc>
                <w:tcPr>
                  <w:tcW w:w="684" w:type="pct"/>
                  <w:vMerge w:val="continue"/>
                  <w:vAlign w:val="center"/>
                </w:tcPr>
                <w:p w14:paraId="02D849C8">
                  <w:pPr>
                    <w:snapToGrid w:val="0"/>
                    <w:jc w:val="center"/>
                    <w:rPr>
                      <w:szCs w:val="21"/>
                    </w:rPr>
                  </w:pPr>
                </w:p>
              </w:tc>
              <w:tc>
                <w:tcPr>
                  <w:tcW w:w="1135" w:type="pct"/>
                  <w:vAlign w:val="center"/>
                </w:tcPr>
                <w:p w14:paraId="3E931DE0">
                  <w:pPr>
                    <w:snapToGrid w:val="0"/>
                    <w:jc w:val="center"/>
                    <w:rPr>
                      <w:szCs w:val="21"/>
                    </w:rPr>
                  </w:pPr>
                  <w:r>
                    <w:rPr>
                      <w:rFonts w:hint="eastAsia"/>
                      <w:szCs w:val="21"/>
                    </w:rPr>
                    <w:t>达标</w:t>
                  </w:r>
                </w:p>
              </w:tc>
            </w:tr>
            <w:tr w14:paraId="63125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continue"/>
                  <w:vAlign w:val="center"/>
                </w:tcPr>
                <w:p w14:paraId="405A03AC">
                  <w:pPr>
                    <w:snapToGrid w:val="0"/>
                    <w:jc w:val="center"/>
                    <w:rPr>
                      <w:kern w:val="0"/>
                      <w:szCs w:val="21"/>
                    </w:rPr>
                  </w:pPr>
                </w:p>
              </w:tc>
              <w:tc>
                <w:tcPr>
                  <w:tcW w:w="1397" w:type="pct"/>
                  <w:vAlign w:val="center"/>
                </w:tcPr>
                <w:p w14:paraId="584BB573">
                  <w:pPr>
                    <w:snapToGrid w:val="0"/>
                    <w:jc w:val="center"/>
                    <w:rPr>
                      <w:kern w:val="0"/>
                      <w:szCs w:val="21"/>
                    </w:rPr>
                  </w:pPr>
                  <w:r>
                    <w:rPr>
                      <w:rFonts w:hint="eastAsia"/>
                      <w:kern w:val="0"/>
                      <w:szCs w:val="21"/>
                    </w:rPr>
                    <w:t>东厂界</w:t>
                  </w:r>
                </w:p>
              </w:tc>
              <w:tc>
                <w:tcPr>
                  <w:tcW w:w="910" w:type="pct"/>
                  <w:vAlign w:val="center"/>
                </w:tcPr>
                <w:p w14:paraId="6B7CE00E">
                  <w:pPr>
                    <w:jc w:val="center"/>
                    <w:rPr>
                      <w:szCs w:val="21"/>
                    </w:rPr>
                  </w:pPr>
                  <w:r>
                    <w:rPr>
                      <w:szCs w:val="21"/>
                    </w:rPr>
                    <w:t>36.20</w:t>
                  </w:r>
                </w:p>
              </w:tc>
              <w:tc>
                <w:tcPr>
                  <w:tcW w:w="684" w:type="pct"/>
                  <w:vMerge w:val="continue"/>
                  <w:vAlign w:val="center"/>
                </w:tcPr>
                <w:p w14:paraId="30AC6CC7">
                  <w:pPr>
                    <w:snapToGrid w:val="0"/>
                    <w:jc w:val="center"/>
                    <w:rPr>
                      <w:szCs w:val="21"/>
                    </w:rPr>
                  </w:pPr>
                </w:p>
              </w:tc>
              <w:tc>
                <w:tcPr>
                  <w:tcW w:w="1135" w:type="pct"/>
                  <w:vAlign w:val="center"/>
                </w:tcPr>
                <w:p w14:paraId="61D5D326">
                  <w:pPr>
                    <w:snapToGrid w:val="0"/>
                    <w:jc w:val="center"/>
                    <w:rPr>
                      <w:szCs w:val="21"/>
                    </w:rPr>
                  </w:pPr>
                  <w:r>
                    <w:rPr>
                      <w:rFonts w:hint="eastAsia"/>
                      <w:szCs w:val="21"/>
                    </w:rPr>
                    <w:t>达标</w:t>
                  </w:r>
                </w:p>
              </w:tc>
            </w:tr>
          </w:tbl>
          <w:p w14:paraId="5183182F">
            <w:pPr>
              <w:adjustRightInd w:val="0"/>
              <w:snapToGrid w:val="0"/>
              <w:spacing w:line="360" w:lineRule="auto"/>
              <w:ind w:firstLine="504" w:firstLineChars="200"/>
              <w:rPr>
                <w:color w:val="000000"/>
                <w:spacing w:val="6"/>
                <w:sz w:val="24"/>
              </w:rPr>
            </w:pPr>
            <w:r>
              <w:rPr>
                <w:rFonts w:hint="eastAsia"/>
                <w:color w:val="000000"/>
                <w:spacing w:val="6"/>
                <w:sz w:val="24"/>
              </w:rPr>
              <w:t>根据预测结果</w:t>
            </w:r>
            <w:r>
              <w:rPr>
                <w:color w:val="000000"/>
                <w:spacing w:val="6"/>
                <w:sz w:val="24"/>
              </w:rPr>
              <w:t>，项目厂界噪声</w:t>
            </w:r>
            <w:r>
              <w:rPr>
                <w:rFonts w:hint="eastAsia"/>
                <w:color w:val="000000"/>
                <w:spacing w:val="6"/>
                <w:sz w:val="24"/>
              </w:rPr>
              <w:t>昼间</w:t>
            </w:r>
            <w:r>
              <w:rPr>
                <w:color w:val="000000"/>
                <w:spacing w:val="6"/>
                <w:sz w:val="24"/>
              </w:rPr>
              <w:t>贡献</w:t>
            </w:r>
            <w:r>
              <w:rPr>
                <w:spacing w:val="6"/>
                <w:sz w:val="24"/>
              </w:rPr>
              <w:t>值在36.20-55.18dB(A)之间。能够满足《工业企业厂界环境噪声排放标准》（GB12348-200</w:t>
            </w:r>
            <w:r>
              <w:rPr>
                <w:color w:val="000000"/>
                <w:spacing w:val="6"/>
                <w:sz w:val="24"/>
              </w:rPr>
              <w:t>8）中2类标准限值。</w:t>
            </w:r>
            <w:r>
              <w:rPr>
                <w:rFonts w:hint="eastAsia"/>
                <w:color w:val="000000"/>
                <w:spacing w:val="6"/>
                <w:sz w:val="24"/>
              </w:rPr>
              <w:t>夜间不生产。</w:t>
            </w:r>
          </w:p>
          <w:p w14:paraId="2D439B7E">
            <w:pPr>
              <w:adjustRightInd w:val="0"/>
              <w:snapToGrid w:val="0"/>
              <w:spacing w:line="360" w:lineRule="auto"/>
              <w:ind w:firstLine="504" w:firstLineChars="200"/>
              <w:jc w:val="left"/>
              <w:rPr>
                <w:spacing w:val="6"/>
                <w:sz w:val="24"/>
              </w:rPr>
            </w:pPr>
            <w:r>
              <w:rPr>
                <w:rFonts w:hint="eastAsia"/>
                <w:spacing w:val="6"/>
                <w:sz w:val="24"/>
              </w:rPr>
              <w:t>4. 敏感点预测</w:t>
            </w:r>
          </w:p>
          <w:p w14:paraId="15B0F124">
            <w:pPr>
              <w:spacing w:line="360" w:lineRule="auto"/>
              <w:jc w:val="center"/>
              <w:rPr>
                <w:rFonts w:cs="黑体"/>
                <w:b/>
                <w:bCs/>
                <w:kern w:val="0"/>
                <w:szCs w:val="21"/>
                <w:lang w:bidi="ar"/>
              </w:rPr>
            </w:pPr>
            <w:r>
              <w:rPr>
                <w:rFonts w:cs="黑体"/>
                <w:b/>
                <w:bCs/>
                <w:kern w:val="0"/>
                <w:szCs w:val="21"/>
                <w:lang w:bidi="ar"/>
              </w:rPr>
              <w:t>表</w:t>
            </w:r>
            <w:r>
              <w:rPr>
                <w:rFonts w:hint="eastAsia" w:cs="黑体"/>
                <w:b/>
                <w:bCs/>
                <w:kern w:val="0"/>
                <w:szCs w:val="21"/>
                <w:lang w:bidi="ar"/>
              </w:rPr>
              <w:t>4</w:t>
            </w:r>
            <w:r>
              <w:rPr>
                <w:rFonts w:cs="黑体"/>
                <w:b/>
                <w:bCs/>
                <w:kern w:val="0"/>
                <w:szCs w:val="21"/>
                <w:lang w:bidi="ar"/>
              </w:rPr>
              <w:t>-</w:t>
            </w:r>
            <w:r>
              <w:rPr>
                <w:rFonts w:hint="eastAsia" w:cs="黑体"/>
                <w:b/>
                <w:bCs/>
                <w:kern w:val="0"/>
                <w:szCs w:val="21"/>
                <w:lang w:bidi="ar"/>
              </w:rPr>
              <w:t>10</w:t>
            </w:r>
            <w:r>
              <w:rPr>
                <w:rFonts w:cs="黑体"/>
                <w:b/>
                <w:bCs/>
                <w:kern w:val="0"/>
                <w:szCs w:val="21"/>
                <w:lang w:bidi="ar"/>
              </w:rPr>
              <w:t xml:space="preserve">  </w:t>
            </w:r>
            <w:r>
              <w:rPr>
                <w:rFonts w:hint="eastAsia" w:cs="黑体"/>
                <w:b/>
                <w:bCs/>
                <w:kern w:val="0"/>
                <w:szCs w:val="21"/>
                <w:lang w:bidi="ar"/>
              </w:rPr>
              <w:t>运营期敏感点噪声预测结果 单位：</w:t>
            </w:r>
            <w:r>
              <w:rPr>
                <w:rFonts w:cs="黑体"/>
                <w:b/>
                <w:bCs/>
                <w:kern w:val="0"/>
                <w:szCs w:val="21"/>
                <w:lang w:bidi="ar"/>
              </w:rPr>
              <w:t>dB(A)</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911"/>
              <w:gridCol w:w="1495"/>
              <w:gridCol w:w="1895"/>
              <w:gridCol w:w="1604"/>
              <w:gridCol w:w="1112"/>
            </w:tblGrid>
            <w:tr w14:paraId="066AD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0" w:type="pct"/>
                  <w:vAlign w:val="center"/>
                </w:tcPr>
                <w:p w14:paraId="401FA6AE">
                  <w:pPr>
                    <w:adjustRightInd w:val="0"/>
                    <w:snapToGrid w:val="0"/>
                    <w:jc w:val="center"/>
                    <w:rPr>
                      <w:color w:val="000000"/>
                      <w:spacing w:val="6"/>
                      <w:szCs w:val="21"/>
                    </w:rPr>
                  </w:pPr>
                  <w:r>
                    <w:rPr>
                      <w:rFonts w:hint="eastAsia"/>
                      <w:color w:val="000000"/>
                      <w:spacing w:val="6"/>
                      <w:szCs w:val="21"/>
                    </w:rPr>
                    <w:t>名称</w:t>
                  </w:r>
                </w:p>
              </w:tc>
              <w:tc>
                <w:tcPr>
                  <w:tcW w:w="578" w:type="pct"/>
                  <w:vAlign w:val="center"/>
                </w:tcPr>
                <w:p w14:paraId="194A2852">
                  <w:pPr>
                    <w:adjustRightInd w:val="0"/>
                    <w:snapToGrid w:val="0"/>
                    <w:jc w:val="center"/>
                    <w:rPr>
                      <w:color w:val="000000"/>
                      <w:spacing w:val="6"/>
                      <w:szCs w:val="21"/>
                    </w:rPr>
                  </w:pPr>
                  <w:r>
                    <w:rPr>
                      <w:rFonts w:hint="eastAsia"/>
                      <w:color w:val="000000"/>
                      <w:spacing w:val="6"/>
                      <w:szCs w:val="21"/>
                    </w:rPr>
                    <w:t>贡献值</w:t>
                  </w:r>
                </w:p>
              </w:tc>
              <w:tc>
                <w:tcPr>
                  <w:tcW w:w="948" w:type="pct"/>
                  <w:vAlign w:val="center"/>
                </w:tcPr>
                <w:p w14:paraId="4CF993BA">
                  <w:pPr>
                    <w:adjustRightInd w:val="0"/>
                    <w:snapToGrid w:val="0"/>
                    <w:jc w:val="center"/>
                    <w:rPr>
                      <w:color w:val="000000"/>
                      <w:spacing w:val="6"/>
                      <w:szCs w:val="21"/>
                    </w:rPr>
                  </w:pPr>
                  <w:r>
                    <w:rPr>
                      <w:rFonts w:hint="eastAsia"/>
                      <w:color w:val="000000"/>
                      <w:spacing w:val="6"/>
                      <w:szCs w:val="21"/>
                    </w:rPr>
                    <w:t>环境背景值</w:t>
                  </w:r>
                </w:p>
              </w:tc>
              <w:tc>
                <w:tcPr>
                  <w:tcW w:w="1202" w:type="pct"/>
                  <w:vAlign w:val="center"/>
                </w:tcPr>
                <w:p w14:paraId="1DA51A6B">
                  <w:pPr>
                    <w:adjustRightInd w:val="0"/>
                    <w:snapToGrid w:val="0"/>
                    <w:jc w:val="center"/>
                    <w:rPr>
                      <w:color w:val="000000"/>
                      <w:spacing w:val="6"/>
                      <w:szCs w:val="21"/>
                    </w:rPr>
                  </w:pPr>
                  <w:r>
                    <w:rPr>
                      <w:rFonts w:hint="eastAsia"/>
                      <w:color w:val="000000"/>
                      <w:spacing w:val="6"/>
                      <w:szCs w:val="21"/>
                    </w:rPr>
                    <w:t>环境噪声预测值</w:t>
                  </w:r>
                </w:p>
              </w:tc>
              <w:tc>
                <w:tcPr>
                  <w:tcW w:w="1017" w:type="pct"/>
                  <w:vAlign w:val="center"/>
                </w:tcPr>
                <w:p w14:paraId="61F33829">
                  <w:pPr>
                    <w:adjustRightInd w:val="0"/>
                    <w:snapToGrid w:val="0"/>
                    <w:jc w:val="center"/>
                    <w:rPr>
                      <w:color w:val="000000"/>
                      <w:spacing w:val="6"/>
                      <w:szCs w:val="21"/>
                    </w:rPr>
                  </w:pPr>
                  <w:r>
                    <w:rPr>
                      <w:rFonts w:hint="eastAsia"/>
                      <w:color w:val="000000"/>
                      <w:spacing w:val="6"/>
                      <w:szCs w:val="21"/>
                    </w:rPr>
                    <w:t>标准（昼间）</w:t>
                  </w:r>
                </w:p>
              </w:tc>
              <w:tc>
                <w:tcPr>
                  <w:tcW w:w="705" w:type="pct"/>
                  <w:vAlign w:val="center"/>
                </w:tcPr>
                <w:p w14:paraId="4ABE6D10">
                  <w:pPr>
                    <w:adjustRightInd w:val="0"/>
                    <w:snapToGrid w:val="0"/>
                    <w:jc w:val="center"/>
                    <w:rPr>
                      <w:color w:val="000000"/>
                      <w:spacing w:val="6"/>
                      <w:szCs w:val="21"/>
                    </w:rPr>
                  </w:pPr>
                  <w:r>
                    <w:rPr>
                      <w:rFonts w:hint="eastAsia"/>
                      <w:color w:val="000000"/>
                      <w:spacing w:val="6"/>
                      <w:szCs w:val="21"/>
                    </w:rPr>
                    <w:t>达标情况</w:t>
                  </w:r>
                </w:p>
              </w:tc>
            </w:tr>
            <w:tr w14:paraId="506D7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14:paraId="4B8AB5E7">
                  <w:pPr>
                    <w:adjustRightInd w:val="0"/>
                    <w:snapToGrid w:val="0"/>
                    <w:jc w:val="center"/>
                    <w:rPr>
                      <w:spacing w:val="6"/>
                      <w:szCs w:val="21"/>
                    </w:rPr>
                  </w:pPr>
                  <w:r>
                    <w:rPr>
                      <w:rFonts w:hint="eastAsia"/>
                      <w:spacing w:val="6"/>
                      <w:szCs w:val="21"/>
                    </w:rPr>
                    <w:t>呼家湾村</w:t>
                  </w:r>
                </w:p>
              </w:tc>
              <w:tc>
                <w:tcPr>
                  <w:tcW w:w="578" w:type="pct"/>
                  <w:vAlign w:val="center"/>
                </w:tcPr>
                <w:p w14:paraId="237129B3">
                  <w:pPr>
                    <w:adjustRightInd w:val="0"/>
                    <w:snapToGrid w:val="0"/>
                    <w:jc w:val="center"/>
                    <w:rPr>
                      <w:spacing w:val="6"/>
                      <w:szCs w:val="21"/>
                    </w:rPr>
                  </w:pPr>
                  <w:r>
                    <w:rPr>
                      <w:rFonts w:hint="eastAsia"/>
                      <w:spacing w:val="6"/>
                      <w:szCs w:val="21"/>
                    </w:rPr>
                    <w:t>32.46</w:t>
                  </w:r>
                </w:p>
              </w:tc>
              <w:tc>
                <w:tcPr>
                  <w:tcW w:w="948" w:type="pct"/>
                  <w:vAlign w:val="center"/>
                </w:tcPr>
                <w:p w14:paraId="47597625">
                  <w:pPr>
                    <w:adjustRightInd w:val="0"/>
                    <w:snapToGrid w:val="0"/>
                    <w:jc w:val="center"/>
                    <w:rPr>
                      <w:spacing w:val="6"/>
                      <w:szCs w:val="21"/>
                    </w:rPr>
                  </w:pPr>
                  <w:r>
                    <w:rPr>
                      <w:rFonts w:hint="eastAsia"/>
                      <w:spacing w:val="6"/>
                      <w:szCs w:val="21"/>
                    </w:rPr>
                    <w:t>49.1</w:t>
                  </w:r>
                </w:p>
              </w:tc>
              <w:tc>
                <w:tcPr>
                  <w:tcW w:w="1202" w:type="pct"/>
                  <w:vAlign w:val="center"/>
                </w:tcPr>
                <w:p w14:paraId="4E16332C">
                  <w:pPr>
                    <w:adjustRightInd w:val="0"/>
                    <w:snapToGrid w:val="0"/>
                    <w:jc w:val="center"/>
                    <w:rPr>
                      <w:spacing w:val="6"/>
                      <w:szCs w:val="21"/>
                    </w:rPr>
                  </w:pPr>
                  <w:r>
                    <w:rPr>
                      <w:rFonts w:hint="eastAsia"/>
                      <w:spacing w:val="6"/>
                      <w:szCs w:val="21"/>
                    </w:rPr>
                    <w:t>49.19</w:t>
                  </w:r>
                </w:p>
              </w:tc>
              <w:tc>
                <w:tcPr>
                  <w:tcW w:w="1017" w:type="pct"/>
                  <w:vAlign w:val="center"/>
                </w:tcPr>
                <w:p w14:paraId="44B5EEA2">
                  <w:pPr>
                    <w:adjustRightInd w:val="0"/>
                    <w:snapToGrid w:val="0"/>
                    <w:jc w:val="center"/>
                    <w:rPr>
                      <w:spacing w:val="6"/>
                      <w:szCs w:val="21"/>
                    </w:rPr>
                  </w:pPr>
                  <w:r>
                    <w:rPr>
                      <w:rFonts w:hint="eastAsia"/>
                      <w:spacing w:val="6"/>
                      <w:szCs w:val="21"/>
                    </w:rPr>
                    <w:t>55</w:t>
                  </w:r>
                </w:p>
              </w:tc>
              <w:tc>
                <w:tcPr>
                  <w:tcW w:w="705" w:type="pct"/>
                  <w:vAlign w:val="center"/>
                </w:tcPr>
                <w:p w14:paraId="129099EA">
                  <w:pPr>
                    <w:adjustRightInd w:val="0"/>
                    <w:snapToGrid w:val="0"/>
                    <w:jc w:val="center"/>
                    <w:rPr>
                      <w:spacing w:val="6"/>
                      <w:szCs w:val="21"/>
                    </w:rPr>
                  </w:pPr>
                  <w:r>
                    <w:rPr>
                      <w:rFonts w:hint="eastAsia"/>
                      <w:spacing w:val="6"/>
                      <w:szCs w:val="21"/>
                    </w:rPr>
                    <w:t>达标</w:t>
                  </w:r>
                </w:p>
              </w:tc>
            </w:tr>
          </w:tbl>
          <w:p w14:paraId="117E5426">
            <w:pPr>
              <w:adjustRightInd w:val="0"/>
              <w:snapToGrid w:val="0"/>
              <w:spacing w:line="360" w:lineRule="auto"/>
              <w:ind w:firstLine="504" w:firstLineChars="200"/>
              <w:rPr>
                <w:color w:val="000000"/>
                <w:spacing w:val="6"/>
                <w:sz w:val="24"/>
              </w:rPr>
            </w:pPr>
            <w:r>
              <w:rPr>
                <w:rFonts w:hint="eastAsia"/>
                <w:spacing w:val="6"/>
                <w:sz w:val="24"/>
              </w:rPr>
              <w:t>根据预测结果</w:t>
            </w:r>
            <w:r>
              <w:rPr>
                <w:spacing w:val="6"/>
                <w:sz w:val="24"/>
              </w:rPr>
              <w:t>，</w:t>
            </w:r>
            <w:r>
              <w:rPr>
                <w:rFonts w:hint="eastAsia"/>
                <w:spacing w:val="6"/>
                <w:sz w:val="24"/>
              </w:rPr>
              <w:t>敏感点</w:t>
            </w:r>
            <w:r>
              <w:rPr>
                <w:spacing w:val="6"/>
                <w:sz w:val="24"/>
              </w:rPr>
              <w:t>噪声</w:t>
            </w:r>
            <w:r>
              <w:rPr>
                <w:rFonts w:hint="eastAsia"/>
                <w:spacing w:val="6"/>
                <w:sz w:val="24"/>
              </w:rPr>
              <w:t>昼间预测值为49.19</w:t>
            </w:r>
            <w:r>
              <w:rPr>
                <w:spacing w:val="6"/>
                <w:sz w:val="24"/>
              </w:rPr>
              <w:t>d</w:t>
            </w:r>
            <w:r>
              <w:rPr>
                <w:rFonts w:hint="eastAsia"/>
                <w:spacing w:val="6"/>
                <w:sz w:val="24"/>
              </w:rPr>
              <w:t>B(A)。</w:t>
            </w:r>
            <w:r>
              <w:rPr>
                <w:spacing w:val="6"/>
                <w:sz w:val="24"/>
              </w:rPr>
              <w:t>能够满足《</w:t>
            </w:r>
            <w:r>
              <w:rPr>
                <w:rFonts w:hint="eastAsia"/>
                <w:spacing w:val="6"/>
                <w:sz w:val="24"/>
              </w:rPr>
              <w:t>声环境质量</w:t>
            </w:r>
            <w:r>
              <w:rPr>
                <w:spacing w:val="6"/>
                <w:sz w:val="24"/>
              </w:rPr>
              <w:t>标准》（GB</w:t>
            </w:r>
            <w:r>
              <w:rPr>
                <w:rFonts w:hint="eastAsia"/>
                <w:spacing w:val="6"/>
                <w:sz w:val="24"/>
              </w:rPr>
              <w:t>3096</w:t>
            </w:r>
            <w:r>
              <w:rPr>
                <w:spacing w:val="6"/>
                <w:sz w:val="24"/>
              </w:rPr>
              <w:t>-2008）</w:t>
            </w:r>
            <w:r>
              <w:rPr>
                <w:rFonts w:hint="eastAsia"/>
                <w:spacing w:val="6"/>
                <w:sz w:val="24"/>
              </w:rPr>
              <w:t>中1类标准限值</w:t>
            </w:r>
            <w:r>
              <w:rPr>
                <w:spacing w:val="6"/>
                <w:sz w:val="24"/>
              </w:rPr>
              <w:t>。</w:t>
            </w:r>
            <w:r>
              <w:rPr>
                <w:rFonts w:hint="eastAsia"/>
                <w:spacing w:val="6"/>
                <w:sz w:val="24"/>
              </w:rPr>
              <w:t>夜</w:t>
            </w:r>
            <w:r>
              <w:rPr>
                <w:rFonts w:hint="eastAsia"/>
                <w:color w:val="000000"/>
                <w:spacing w:val="6"/>
                <w:sz w:val="24"/>
              </w:rPr>
              <w:t>间不生产。</w:t>
            </w:r>
          </w:p>
          <w:p w14:paraId="366EEDC7">
            <w:pPr>
              <w:adjustRightInd w:val="0"/>
              <w:snapToGrid w:val="0"/>
              <w:spacing w:line="360" w:lineRule="auto"/>
              <w:ind w:firstLine="504" w:firstLineChars="200"/>
              <w:jc w:val="left"/>
              <w:rPr>
                <w:color w:val="000000"/>
                <w:spacing w:val="6"/>
                <w:sz w:val="24"/>
              </w:rPr>
            </w:pPr>
            <w:r>
              <w:rPr>
                <w:rFonts w:hint="eastAsia"/>
                <w:color w:val="000000"/>
                <w:spacing w:val="6"/>
                <w:sz w:val="24"/>
              </w:rPr>
              <w:t>5. 噪声监测方案</w:t>
            </w:r>
          </w:p>
          <w:p w14:paraId="58A4B911">
            <w:pPr>
              <w:spacing w:line="360" w:lineRule="auto"/>
              <w:jc w:val="center"/>
              <w:rPr>
                <w:rFonts w:cs="黑体"/>
                <w:b/>
                <w:bCs/>
                <w:kern w:val="0"/>
                <w:szCs w:val="21"/>
                <w:lang w:bidi="ar"/>
              </w:rPr>
            </w:pPr>
            <w:r>
              <w:rPr>
                <w:rFonts w:cs="黑体"/>
                <w:b/>
                <w:bCs/>
                <w:kern w:val="0"/>
                <w:szCs w:val="21"/>
                <w:lang w:bidi="ar"/>
              </w:rPr>
              <w:t>表</w:t>
            </w:r>
            <w:r>
              <w:rPr>
                <w:rFonts w:hint="eastAsia" w:cs="黑体"/>
                <w:b/>
                <w:bCs/>
                <w:kern w:val="0"/>
                <w:szCs w:val="21"/>
                <w:lang w:bidi="ar"/>
              </w:rPr>
              <w:t>4</w:t>
            </w:r>
            <w:r>
              <w:rPr>
                <w:rFonts w:cs="黑体"/>
                <w:b/>
                <w:bCs/>
                <w:kern w:val="0"/>
                <w:szCs w:val="21"/>
                <w:lang w:bidi="ar"/>
              </w:rPr>
              <w:t>-</w:t>
            </w:r>
            <w:r>
              <w:rPr>
                <w:rFonts w:hint="eastAsia" w:cs="黑体"/>
                <w:b/>
                <w:bCs/>
                <w:kern w:val="0"/>
                <w:szCs w:val="21"/>
                <w:lang w:bidi="ar"/>
              </w:rPr>
              <w:t>11</w:t>
            </w:r>
            <w:r>
              <w:rPr>
                <w:rFonts w:cs="黑体"/>
                <w:b/>
                <w:bCs/>
                <w:kern w:val="0"/>
                <w:szCs w:val="21"/>
                <w:lang w:bidi="ar"/>
              </w:rPr>
              <w:t xml:space="preserve">  </w:t>
            </w:r>
            <w:r>
              <w:rPr>
                <w:rFonts w:hint="eastAsia" w:cs="黑体"/>
                <w:b/>
                <w:bCs/>
                <w:kern w:val="0"/>
                <w:szCs w:val="21"/>
                <w:lang w:bidi="ar"/>
              </w:rPr>
              <w:t>噪声自行监测方案 单位：</w:t>
            </w:r>
            <w:r>
              <w:rPr>
                <w:rFonts w:cs="黑体"/>
                <w:b/>
                <w:bCs/>
                <w:kern w:val="0"/>
                <w:szCs w:val="21"/>
                <w:lang w:bidi="ar"/>
              </w:rPr>
              <w:t>dB(A)</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14"/>
              <w:gridCol w:w="1577"/>
              <w:gridCol w:w="1495"/>
              <w:gridCol w:w="1093"/>
              <w:gridCol w:w="2605"/>
            </w:tblGrid>
            <w:tr w14:paraId="3CF97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7" w:type="pct"/>
                  <w:vAlign w:val="center"/>
                </w:tcPr>
                <w:p w14:paraId="425CAFD8">
                  <w:pPr>
                    <w:pStyle w:val="38"/>
                    <w:spacing w:after="0"/>
                    <w:ind w:firstLine="0" w:firstLineChars="0"/>
                    <w:jc w:val="center"/>
                    <w:rPr>
                      <w:szCs w:val="21"/>
                    </w:rPr>
                  </w:pPr>
                  <w:r>
                    <w:rPr>
                      <w:rFonts w:hint="eastAsia"/>
                      <w:szCs w:val="21"/>
                    </w:rPr>
                    <w:t>监测点位</w:t>
                  </w:r>
                </w:p>
              </w:tc>
              <w:tc>
                <w:tcPr>
                  <w:tcW w:w="1000" w:type="pct"/>
                  <w:vAlign w:val="center"/>
                </w:tcPr>
                <w:p w14:paraId="78D2D62B">
                  <w:pPr>
                    <w:pStyle w:val="38"/>
                    <w:spacing w:after="0"/>
                    <w:ind w:firstLine="0" w:firstLineChars="0"/>
                    <w:jc w:val="center"/>
                    <w:rPr>
                      <w:szCs w:val="21"/>
                    </w:rPr>
                  </w:pPr>
                  <w:r>
                    <w:rPr>
                      <w:rFonts w:hint="eastAsia"/>
                      <w:szCs w:val="21"/>
                    </w:rPr>
                    <w:t>监测项目</w:t>
                  </w:r>
                </w:p>
              </w:tc>
              <w:tc>
                <w:tcPr>
                  <w:tcW w:w="948" w:type="pct"/>
                  <w:vAlign w:val="center"/>
                </w:tcPr>
                <w:p w14:paraId="4B6F349E">
                  <w:pPr>
                    <w:pStyle w:val="38"/>
                    <w:spacing w:after="0"/>
                    <w:ind w:firstLine="0" w:firstLineChars="0"/>
                    <w:jc w:val="center"/>
                    <w:rPr>
                      <w:szCs w:val="21"/>
                    </w:rPr>
                  </w:pPr>
                  <w:r>
                    <w:rPr>
                      <w:rFonts w:hint="eastAsia"/>
                      <w:szCs w:val="21"/>
                    </w:rPr>
                    <w:t>监测频率</w:t>
                  </w:r>
                </w:p>
              </w:tc>
              <w:tc>
                <w:tcPr>
                  <w:tcW w:w="693" w:type="pct"/>
                  <w:vAlign w:val="center"/>
                </w:tcPr>
                <w:p w14:paraId="04427B20">
                  <w:pPr>
                    <w:pStyle w:val="38"/>
                    <w:spacing w:after="0"/>
                    <w:ind w:firstLine="0" w:firstLineChars="0"/>
                    <w:jc w:val="center"/>
                    <w:rPr>
                      <w:szCs w:val="21"/>
                    </w:rPr>
                  </w:pPr>
                  <w:r>
                    <w:rPr>
                      <w:rFonts w:hint="eastAsia"/>
                      <w:szCs w:val="21"/>
                    </w:rPr>
                    <w:t>监测机构</w:t>
                  </w:r>
                </w:p>
              </w:tc>
              <w:tc>
                <w:tcPr>
                  <w:tcW w:w="1652" w:type="pct"/>
                  <w:vAlign w:val="center"/>
                </w:tcPr>
                <w:p w14:paraId="057A396B">
                  <w:pPr>
                    <w:pStyle w:val="38"/>
                    <w:spacing w:after="0"/>
                    <w:ind w:firstLine="0" w:firstLineChars="0"/>
                    <w:jc w:val="center"/>
                    <w:rPr>
                      <w:szCs w:val="21"/>
                    </w:rPr>
                  </w:pPr>
                  <w:r>
                    <w:rPr>
                      <w:rFonts w:hint="eastAsia"/>
                      <w:szCs w:val="21"/>
                    </w:rPr>
                    <w:t>执行标准</w:t>
                  </w:r>
                </w:p>
              </w:tc>
            </w:tr>
            <w:tr w14:paraId="7E6EF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7" w:type="pct"/>
                  <w:vAlign w:val="center"/>
                </w:tcPr>
                <w:p w14:paraId="49BA66C7">
                  <w:pPr>
                    <w:pStyle w:val="38"/>
                    <w:spacing w:after="0"/>
                    <w:ind w:firstLine="0" w:firstLineChars="0"/>
                    <w:jc w:val="center"/>
                    <w:rPr>
                      <w:szCs w:val="21"/>
                    </w:rPr>
                  </w:pPr>
                  <w:r>
                    <w:rPr>
                      <w:rFonts w:hint="eastAsia"/>
                      <w:szCs w:val="21"/>
                    </w:rPr>
                    <w:t>厂界四周1m处</w:t>
                  </w:r>
                </w:p>
              </w:tc>
              <w:tc>
                <w:tcPr>
                  <w:tcW w:w="1000" w:type="pct"/>
                  <w:vAlign w:val="center"/>
                </w:tcPr>
                <w:p w14:paraId="0F05C0BB">
                  <w:pPr>
                    <w:pStyle w:val="38"/>
                    <w:spacing w:after="0"/>
                    <w:ind w:firstLine="0" w:firstLineChars="0"/>
                    <w:jc w:val="center"/>
                    <w:rPr>
                      <w:szCs w:val="21"/>
                    </w:rPr>
                  </w:pPr>
                  <w:r>
                    <w:rPr>
                      <w:szCs w:val="21"/>
                    </w:rPr>
                    <w:t>L</w:t>
                  </w:r>
                  <w:r>
                    <w:rPr>
                      <w:szCs w:val="21"/>
                      <w:vertAlign w:val="subscript"/>
                    </w:rPr>
                    <w:t>10</w:t>
                  </w:r>
                  <w:r>
                    <w:rPr>
                      <w:szCs w:val="21"/>
                    </w:rPr>
                    <w:t>、L</w:t>
                  </w:r>
                  <w:r>
                    <w:rPr>
                      <w:szCs w:val="21"/>
                      <w:vertAlign w:val="subscript"/>
                    </w:rPr>
                    <w:t>50</w:t>
                  </w:r>
                  <w:r>
                    <w:rPr>
                      <w:szCs w:val="21"/>
                    </w:rPr>
                    <w:t>、L</w:t>
                  </w:r>
                  <w:r>
                    <w:rPr>
                      <w:szCs w:val="21"/>
                      <w:vertAlign w:val="subscript"/>
                    </w:rPr>
                    <w:t>90</w:t>
                  </w:r>
                  <w:r>
                    <w:rPr>
                      <w:rFonts w:hint="eastAsia"/>
                      <w:szCs w:val="21"/>
                    </w:rPr>
                    <w:t>及</w:t>
                  </w:r>
                  <w:r>
                    <w:rPr>
                      <w:szCs w:val="21"/>
                    </w:rPr>
                    <w:t>L</w:t>
                  </w:r>
                  <w:r>
                    <w:rPr>
                      <w:szCs w:val="21"/>
                      <w:vertAlign w:val="subscript"/>
                    </w:rPr>
                    <w:t>eq</w:t>
                  </w:r>
                </w:p>
              </w:tc>
              <w:tc>
                <w:tcPr>
                  <w:tcW w:w="948" w:type="pct"/>
                  <w:vAlign w:val="center"/>
                </w:tcPr>
                <w:p w14:paraId="6ABF70A4">
                  <w:pPr>
                    <w:pStyle w:val="38"/>
                    <w:spacing w:after="0"/>
                    <w:ind w:firstLine="0" w:firstLineChars="0"/>
                    <w:jc w:val="center"/>
                    <w:rPr>
                      <w:szCs w:val="21"/>
                    </w:rPr>
                  </w:pPr>
                  <w:r>
                    <w:rPr>
                      <w:rFonts w:hint="eastAsia"/>
                      <w:szCs w:val="21"/>
                    </w:rPr>
                    <w:t>1次/季度</w:t>
                  </w:r>
                </w:p>
              </w:tc>
              <w:tc>
                <w:tcPr>
                  <w:tcW w:w="693" w:type="pct"/>
                  <w:vAlign w:val="center"/>
                </w:tcPr>
                <w:p w14:paraId="4D5131F2">
                  <w:pPr>
                    <w:pStyle w:val="38"/>
                    <w:spacing w:after="0"/>
                    <w:ind w:firstLine="0" w:firstLineChars="0"/>
                    <w:jc w:val="center"/>
                    <w:rPr>
                      <w:szCs w:val="21"/>
                    </w:rPr>
                  </w:pPr>
                  <w:r>
                    <w:rPr>
                      <w:rFonts w:hint="eastAsia"/>
                      <w:szCs w:val="21"/>
                    </w:rPr>
                    <w:t>委托</w:t>
                  </w:r>
                  <w:r>
                    <w:rPr>
                      <w:szCs w:val="21"/>
                    </w:rPr>
                    <w:t>有资质的监测单位</w:t>
                  </w:r>
                </w:p>
              </w:tc>
              <w:tc>
                <w:tcPr>
                  <w:tcW w:w="1652" w:type="pct"/>
                  <w:vAlign w:val="center"/>
                </w:tcPr>
                <w:p w14:paraId="3EF6001C">
                  <w:pPr>
                    <w:pStyle w:val="38"/>
                    <w:spacing w:after="0"/>
                    <w:ind w:firstLine="0" w:firstLineChars="0"/>
                    <w:jc w:val="center"/>
                    <w:rPr>
                      <w:szCs w:val="21"/>
                    </w:rPr>
                  </w:pPr>
                  <w:r>
                    <w:rPr>
                      <w:szCs w:val="21"/>
                    </w:rPr>
                    <w:t>《工业企业厂界环境噪声排放标准》（GB12348-2008）2类标准</w:t>
                  </w:r>
                </w:p>
              </w:tc>
            </w:tr>
          </w:tbl>
          <w:p w14:paraId="1BA516B3">
            <w:pPr>
              <w:spacing w:line="360" w:lineRule="auto"/>
              <w:rPr>
                <w:b/>
                <w:bCs/>
                <w:sz w:val="24"/>
              </w:rPr>
            </w:pPr>
          </w:p>
          <w:p w14:paraId="49DFAFE8">
            <w:pPr>
              <w:spacing w:line="360" w:lineRule="auto"/>
              <w:rPr>
                <w:b/>
                <w:bCs/>
                <w:sz w:val="24"/>
              </w:rPr>
            </w:pPr>
          </w:p>
          <w:p w14:paraId="10E996B2">
            <w:pPr>
              <w:spacing w:line="360" w:lineRule="auto"/>
              <w:rPr>
                <w:b/>
                <w:bCs/>
                <w:sz w:val="24"/>
              </w:rPr>
            </w:pPr>
          </w:p>
          <w:p w14:paraId="029D3E41">
            <w:pPr>
              <w:spacing w:line="360" w:lineRule="auto"/>
              <w:rPr>
                <w:b/>
                <w:bCs/>
                <w:sz w:val="24"/>
              </w:rPr>
            </w:pPr>
            <w:r>
              <w:rPr>
                <w:b/>
                <w:bCs/>
                <w:sz w:val="24"/>
              </w:rPr>
              <w:t>4.2.4 固体废物影响分析及污染防治措施</w:t>
            </w:r>
          </w:p>
          <w:p w14:paraId="6569E34E">
            <w:pPr>
              <w:spacing w:line="360" w:lineRule="auto"/>
              <w:ind w:firstLine="480" w:firstLineChars="200"/>
              <w:rPr>
                <w:sz w:val="24"/>
              </w:rPr>
            </w:pPr>
            <w:bookmarkStart w:id="20" w:name="_Hlk175747172"/>
            <w:r>
              <w:rPr>
                <w:rFonts w:hint="eastAsia"/>
                <w:sz w:val="24"/>
              </w:rPr>
              <w:t>本项目产生的固体废物主要为生活垃圾、一般工业固体废物和危险废物，评价要求对各类固体废物进行分类收集贮存。</w:t>
            </w:r>
          </w:p>
          <w:p w14:paraId="2A42212C">
            <w:pPr>
              <w:spacing w:line="360" w:lineRule="auto"/>
              <w:ind w:firstLine="480" w:firstLineChars="200"/>
              <w:rPr>
                <w:sz w:val="24"/>
              </w:rPr>
            </w:pPr>
            <w:r>
              <w:rPr>
                <w:rFonts w:hint="eastAsia"/>
                <w:sz w:val="24"/>
              </w:rPr>
              <w:t>1. 生活垃圾</w:t>
            </w:r>
          </w:p>
          <w:p w14:paraId="45FF6CCD">
            <w:pPr>
              <w:spacing w:line="360" w:lineRule="auto"/>
              <w:ind w:firstLine="480" w:firstLineChars="200"/>
              <w:rPr>
                <w:sz w:val="24"/>
              </w:rPr>
            </w:pPr>
            <w:r>
              <w:rPr>
                <w:rFonts w:hint="eastAsia"/>
                <w:sz w:val="24"/>
              </w:rPr>
              <w:t>本项目劳动定员</w:t>
            </w:r>
            <w:r>
              <w:rPr>
                <w:sz w:val="24"/>
              </w:rPr>
              <w:t>10</w:t>
            </w:r>
            <w:r>
              <w:rPr>
                <w:rFonts w:hint="eastAsia"/>
                <w:sz w:val="24"/>
              </w:rPr>
              <w:t>人，生活垃圾产生量为按0.5kg/d计，则生活垃圾产生量约为</w:t>
            </w:r>
            <w:r>
              <w:rPr>
                <w:sz w:val="24"/>
              </w:rPr>
              <w:t>1.5</w:t>
            </w:r>
            <w:r>
              <w:rPr>
                <w:rFonts w:hint="eastAsia"/>
                <w:sz w:val="24"/>
              </w:rPr>
              <w:t>t/a。评价要求厂区设垃圾桶收集，送环卫部门指定地点处理。</w:t>
            </w:r>
          </w:p>
          <w:p w14:paraId="72FDC9D0">
            <w:pPr>
              <w:spacing w:line="360" w:lineRule="auto"/>
              <w:ind w:firstLine="480" w:firstLineChars="200"/>
              <w:rPr>
                <w:sz w:val="24"/>
              </w:rPr>
            </w:pPr>
            <w:r>
              <w:rPr>
                <w:rFonts w:hint="eastAsia"/>
                <w:sz w:val="24"/>
              </w:rPr>
              <w:t>2. 一般工业固体废物</w:t>
            </w:r>
          </w:p>
          <w:p w14:paraId="0D342C7F">
            <w:pPr>
              <w:spacing w:line="360" w:lineRule="auto"/>
              <w:ind w:firstLine="480" w:firstLineChars="200"/>
              <w:rPr>
                <w:rFonts w:hint="eastAsia" w:ascii="宋体" w:hAnsi="宋体" w:cs="宋体"/>
                <w:sz w:val="24"/>
              </w:rPr>
            </w:pPr>
            <w:r>
              <w:rPr>
                <w:rFonts w:hint="eastAsia" w:ascii="宋体" w:hAnsi="宋体" w:cs="宋体"/>
                <w:sz w:val="24"/>
              </w:rPr>
              <w:t>本项目生产过程中产生的一般工业固废主要为除尘灰、废除尘布袋、废包装袋等。</w:t>
            </w:r>
          </w:p>
          <w:p w14:paraId="259BC866">
            <w:pPr>
              <w:spacing w:line="360" w:lineRule="auto"/>
              <w:ind w:firstLine="480" w:firstLineChars="200"/>
              <w:rPr>
                <w:sz w:val="24"/>
              </w:rPr>
            </w:pPr>
            <w:r>
              <w:rPr>
                <w:sz w:val="24"/>
              </w:rPr>
              <w:t>（1）除尘灰</w:t>
            </w:r>
          </w:p>
          <w:p w14:paraId="6463B6BC">
            <w:pPr>
              <w:spacing w:line="360" w:lineRule="auto"/>
              <w:ind w:firstLine="480" w:firstLineChars="200"/>
              <w:rPr>
                <w:sz w:val="24"/>
              </w:rPr>
            </w:pPr>
            <w:r>
              <w:rPr>
                <w:rFonts w:hint="eastAsia"/>
                <w:sz w:val="24"/>
              </w:rPr>
              <w:t>根据废气中颗粒物产排情况进行物料衡算，收集的粉尘约为91.1616t/a（各除尘设施收集的除尘灰数量统计见表4-12）。除尘器灰斗的卸灰口应设置插板阀、卸灰阀及落灰短管，</w:t>
            </w:r>
            <w:r>
              <w:rPr>
                <w:sz w:val="24"/>
              </w:rPr>
              <w:t>收集的粉尘全部回用于生产。</w:t>
            </w:r>
          </w:p>
          <w:bookmarkEnd w:id="20"/>
          <w:p w14:paraId="606647A6">
            <w:pPr>
              <w:pStyle w:val="13"/>
              <w:keepNext/>
              <w:rPr>
                <w:rFonts w:eastAsia="宋体" w:cs="黑体"/>
                <w:b/>
                <w:bCs/>
                <w:kern w:val="0"/>
                <w:sz w:val="21"/>
                <w:szCs w:val="21"/>
                <w:lang w:bidi="ar"/>
              </w:rPr>
            </w:pPr>
            <w:r>
              <w:rPr>
                <w:rFonts w:eastAsia="宋体" w:cs="黑体"/>
                <w:b/>
                <w:bCs/>
                <w:kern w:val="0"/>
                <w:sz w:val="21"/>
                <w:szCs w:val="21"/>
                <w:lang w:bidi="ar"/>
              </w:rPr>
              <w:t>表</w:t>
            </w:r>
            <w:r>
              <w:rPr>
                <w:rFonts w:hint="eastAsia" w:eastAsia="宋体" w:cs="黑体"/>
                <w:b/>
                <w:bCs/>
                <w:kern w:val="0"/>
                <w:sz w:val="21"/>
                <w:szCs w:val="21"/>
                <w:lang w:bidi="ar"/>
              </w:rPr>
              <w:t>4</w:t>
            </w:r>
            <w:r>
              <w:rPr>
                <w:rFonts w:eastAsia="宋体" w:cs="黑体"/>
                <w:b/>
                <w:bCs/>
                <w:kern w:val="0"/>
                <w:sz w:val="21"/>
                <w:szCs w:val="21"/>
                <w:lang w:bidi="ar"/>
              </w:rPr>
              <w:t>-</w:t>
            </w:r>
            <w:r>
              <w:rPr>
                <w:rFonts w:hint="eastAsia" w:eastAsia="宋体" w:cs="黑体"/>
                <w:b/>
                <w:bCs/>
                <w:kern w:val="0"/>
                <w:sz w:val="21"/>
                <w:szCs w:val="21"/>
                <w:lang w:bidi="ar"/>
              </w:rPr>
              <w:t>12</w:t>
            </w:r>
            <w:r>
              <w:rPr>
                <w:rFonts w:eastAsia="宋体" w:cs="黑体"/>
                <w:b/>
                <w:bCs/>
                <w:kern w:val="0"/>
                <w:sz w:val="21"/>
                <w:szCs w:val="21"/>
                <w:lang w:bidi="ar"/>
              </w:rPr>
              <w:t xml:space="preserve">  </w:t>
            </w:r>
            <w:r>
              <w:rPr>
                <w:rFonts w:hint="eastAsia" w:eastAsia="宋体" w:cs="黑体"/>
                <w:b/>
                <w:bCs/>
                <w:kern w:val="0"/>
                <w:sz w:val="21"/>
                <w:szCs w:val="21"/>
                <w:lang w:bidi="ar"/>
              </w:rPr>
              <w:t>本项目各除尘器除尘灰数量统计表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2081"/>
              <w:gridCol w:w="2831"/>
            </w:tblGrid>
            <w:tr w14:paraId="0FF0A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85" w:type="pct"/>
                  <w:vAlign w:val="center"/>
                </w:tcPr>
                <w:p w14:paraId="4ED7A716">
                  <w:pPr>
                    <w:pStyle w:val="348"/>
                    <w:jc w:val="center"/>
                    <w:rPr>
                      <w:color w:val="000000"/>
                      <w:sz w:val="21"/>
                      <w:szCs w:val="21"/>
                    </w:rPr>
                  </w:pPr>
                  <w:r>
                    <w:rPr>
                      <w:rFonts w:hint="eastAsia"/>
                      <w:color w:val="000000"/>
                      <w:sz w:val="21"/>
                      <w:szCs w:val="21"/>
                    </w:rPr>
                    <w:t>除尘设施</w:t>
                  </w:r>
                </w:p>
              </w:tc>
              <w:tc>
                <w:tcPr>
                  <w:tcW w:w="1320" w:type="pct"/>
                  <w:vAlign w:val="center"/>
                </w:tcPr>
                <w:p w14:paraId="4231D387">
                  <w:pPr>
                    <w:widowControl/>
                    <w:adjustRightInd w:val="0"/>
                    <w:snapToGrid w:val="0"/>
                    <w:jc w:val="center"/>
                    <w:rPr>
                      <w:bCs/>
                      <w:color w:val="000000"/>
                      <w:kern w:val="0"/>
                      <w:szCs w:val="21"/>
                    </w:rPr>
                  </w:pPr>
                  <w:r>
                    <w:rPr>
                      <w:rFonts w:hint="eastAsia"/>
                      <w:bCs/>
                      <w:color w:val="000000"/>
                      <w:kern w:val="0"/>
                      <w:szCs w:val="21"/>
                    </w:rPr>
                    <w:t>除尘灰数量（t/a）</w:t>
                  </w:r>
                </w:p>
              </w:tc>
              <w:tc>
                <w:tcPr>
                  <w:tcW w:w="1795" w:type="pct"/>
                  <w:vAlign w:val="center"/>
                </w:tcPr>
                <w:p w14:paraId="0C8CC866">
                  <w:pPr>
                    <w:widowControl/>
                    <w:adjustRightInd w:val="0"/>
                    <w:snapToGrid w:val="0"/>
                    <w:jc w:val="center"/>
                    <w:rPr>
                      <w:bCs/>
                      <w:color w:val="000000"/>
                      <w:kern w:val="0"/>
                      <w:szCs w:val="21"/>
                    </w:rPr>
                  </w:pPr>
                  <w:r>
                    <w:rPr>
                      <w:rFonts w:hint="eastAsia"/>
                      <w:bCs/>
                      <w:color w:val="000000"/>
                      <w:kern w:val="0"/>
                      <w:szCs w:val="21"/>
                    </w:rPr>
                    <w:t>处理、处置或综合利用方式</w:t>
                  </w:r>
                </w:p>
              </w:tc>
            </w:tr>
            <w:tr w14:paraId="25F18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85" w:type="pct"/>
                  <w:vAlign w:val="center"/>
                </w:tcPr>
                <w:p w14:paraId="1E96FF10">
                  <w:pPr>
                    <w:pStyle w:val="348"/>
                    <w:jc w:val="center"/>
                    <w:rPr>
                      <w:color w:val="000000"/>
                      <w:sz w:val="21"/>
                      <w:szCs w:val="21"/>
                    </w:rPr>
                  </w:pPr>
                  <w:r>
                    <w:rPr>
                      <w:rFonts w:hint="eastAsia"/>
                      <w:sz w:val="21"/>
                      <w:szCs w:val="21"/>
                    </w:rPr>
                    <w:t>砂库出料除尘器</w:t>
                  </w:r>
                </w:p>
              </w:tc>
              <w:tc>
                <w:tcPr>
                  <w:tcW w:w="1320" w:type="pct"/>
                  <w:vAlign w:val="center"/>
                </w:tcPr>
                <w:p w14:paraId="21C3C8E1">
                  <w:pPr>
                    <w:jc w:val="center"/>
                  </w:pPr>
                  <w:r>
                    <w:rPr>
                      <w:rFonts w:hint="eastAsia"/>
                    </w:rPr>
                    <w:t>21.973</w:t>
                  </w:r>
                </w:p>
              </w:tc>
              <w:tc>
                <w:tcPr>
                  <w:tcW w:w="1795" w:type="pct"/>
                  <w:vAlign w:val="center"/>
                </w:tcPr>
                <w:p w14:paraId="6EFE1ED3">
                  <w:pPr>
                    <w:jc w:val="center"/>
                    <w:rPr>
                      <w:bCs/>
                      <w:color w:val="000000"/>
                      <w:kern w:val="0"/>
                      <w:szCs w:val="21"/>
                    </w:rPr>
                  </w:pPr>
                  <w:r>
                    <w:rPr>
                      <w:rFonts w:hint="eastAsia"/>
                      <w:bCs/>
                      <w:color w:val="000000"/>
                      <w:kern w:val="0"/>
                      <w:szCs w:val="21"/>
                    </w:rPr>
                    <w:t>返回砂仓回用。</w:t>
                  </w:r>
                </w:p>
              </w:tc>
            </w:tr>
            <w:tr w14:paraId="1448F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85" w:type="pct"/>
                  <w:vAlign w:val="center"/>
                </w:tcPr>
                <w:p w14:paraId="3D2C5B30">
                  <w:pPr>
                    <w:pStyle w:val="348"/>
                    <w:jc w:val="center"/>
                    <w:rPr>
                      <w:color w:val="000000"/>
                      <w:sz w:val="21"/>
                      <w:szCs w:val="21"/>
                    </w:rPr>
                  </w:pPr>
                  <w:r>
                    <w:rPr>
                      <w:rFonts w:hint="eastAsia"/>
                      <w:sz w:val="21"/>
                      <w:szCs w:val="21"/>
                    </w:rPr>
                    <w:t>主楼除尘器</w:t>
                  </w:r>
                </w:p>
              </w:tc>
              <w:tc>
                <w:tcPr>
                  <w:tcW w:w="1320" w:type="pct"/>
                  <w:vAlign w:val="center"/>
                </w:tcPr>
                <w:p w14:paraId="69B302F9">
                  <w:pPr>
                    <w:jc w:val="center"/>
                  </w:pPr>
                  <w:r>
                    <w:rPr>
                      <w:rFonts w:hint="eastAsia"/>
                    </w:rPr>
                    <w:t>25.793</w:t>
                  </w:r>
                </w:p>
              </w:tc>
              <w:tc>
                <w:tcPr>
                  <w:tcW w:w="1795" w:type="pct"/>
                  <w:vAlign w:val="center"/>
                </w:tcPr>
                <w:p w14:paraId="1385EFB0">
                  <w:pPr>
                    <w:jc w:val="center"/>
                    <w:rPr>
                      <w:bCs/>
                      <w:color w:val="000000"/>
                      <w:kern w:val="0"/>
                      <w:szCs w:val="21"/>
                    </w:rPr>
                  </w:pPr>
                  <w:r>
                    <w:rPr>
                      <w:rFonts w:hint="eastAsia"/>
                      <w:bCs/>
                      <w:color w:val="000000"/>
                      <w:kern w:val="0"/>
                      <w:szCs w:val="21"/>
                    </w:rPr>
                    <w:t>返回搅拌机回用。</w:t>
                  </w:r>
                </w:p>
              </w:tc>
            </w:tr>
            <w:tr w14:paraId="3857D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85" w:type="pct"/>
                  <w:vAlign w:val="center"/>
                </w:tcPr>
                <w:p w14:paraId="4E03C7ED">
                  <w:pPr>
                    <w:pStyle w:val="348"/>
                    <w:jc w:val="center"/>
                    <w:rPr>
                      <w:color w:val="000000"/>
                      <w:sz w:val="21"/>
                      <w:szCs w:val="21"/>
                    </w:rPr>
                  </w:pPr>
                  <w:r>
                    <w:rPr>
                      <w:sz w:val="21"/>
                      <w:szCs w:val="21"/>
                    </w:rPr>
                    <w:t>1#水泥筒仓</w:t>
                  </w:r>
                  <w:r>
                    <w:rPr>
                      <w:rFonts w:hint="eastAsia"/>
                      <w:sz w:val="21"/>
                      <w:szCs w:val="21"/>
                    </w:rPr>
                    <w:t>仓顶除尘器</w:t>
                  </w:r>
                </w:p>
              </w:tc>
              <w:tc>
                <w:tcPr>
                  <w:tcW w:w="1320" w:type="pct"/>
                  <w:vAlign w:val="center"/>
                </w:tcPr>
                <w:p w14:paraId="0219AFE9">
                  <w:pPr>
                    <w:jc w:val="center"/>
                  </w:pPr>
                  <w:r>
                    <w:rPr>
                      <w:rFonts w:hint="eastAsia"/>
                    </w:rPr>
                    <w:t>1.4207</w:t>
                  </w:r>
                </w:p>
              </w:tc>
              <w:tc>
                <w:tcPr>
                  <w:tcW w:w="1795" w:type="pct"/>
                  <w:vMerge w:val="restart"/>
                  <w:vAlign w:val="center"/>
                </w:tcPr>
                <w:p w14:paraId="2E7E24D5">
                  <w:pPr>
                    <w:jc w:val="center"/>
                    <w:rPr>
                      <w:bCs/>
                      <w:color w:val="000000"/>
                      <w:kern w:val="0"/>
                      <w:szCs w:val="21"/>
                    </w:rPr>
                  </w:pPr>
                  <w:r>
                    <w:rPr>
                      <w:rFonts w:hint="eastAsia"/>
                      <w:bCs/>
                      <w:color w:val="000000"/>
                      <w:kern w:val="0"/>
                      <w:szCs w:val="21"/>
                    </w:rPr>
                    <w:t>返回本仓回用。</w:t>
                  </w:r>
                </w:p>
              </w:tc>
            </w:tr>
            <w:tr w14:paraId="69558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85" w:type="pct"/>
                  <w:vAlign w:val="center"/>
                </w:tcPr>
                <w:p w14:paraId="1D324226">
                  <w:pPr>
                    <w:pStyle w:val="348"/>
                    <w:jc w:val="center"/>
                    <w:rPr>
                      <w:color w:val="000000"/>
                      <w:sz w:val="21"/>
                      <w:szCs w:val="21"/>
                    </w:rPr>
                  </w:pPr>
                  <w:r>
                    <w:rPr>
                      <w:sz w:val="21"/>
                      <w:szCs w:val="21"/>
                    </w:rPr>
                    <w:t>2#水泥筒仓</w:t>
                  </w:r>
                  <w:r>
                    <w:rPr>
                      <w:rFonts w:hint="eastAsia"/>
                      <w:sz w:val="21"/>
                      <w:szCs w:val="21"/>
                    </w:rPr>
                    <w:t>仓顶除尘器</w:t>
                  </w:r>
                </w:p>
              </w:tc>
              <w:tc>
                <w:tcPr>
                  <w:tcW w:w="1320" w:type="pct"/>
                  <w:vAlign w:val="center"/>
                </w:tcPr>
                <w:p w14:paraId="2C208040">
                  <w:pPr>
                    <w:jc w:val="center"/>
                  </w:pPr>
                  <w:r>
                    <w:rPr>
                      <w:rFonts w:hint="eastAsia"/>
                    </w:rPr>
                    <w:t>1.4207</w:t>
                  </w:r>
                </w:p>
              </w:tc>
              <w:tc>
                <w:tcPr>
                  <w:tcW w:w="1795" w:type="pct"/>
                  <w:vMerge w:val="continue"/>
                  <w:vAlign w:val="center"/>
                </w:tcPr>
                <w:p w14:paraId="75E4E5EC">
                  <w:pPr>
                    <w:jc w:val="center"/>
                    <w:rPr>
                      <w:bCs/>
                      <w:color w:val="000000"/>
                      <w:kern w:val="0"/>
                      <w:szCs w:val="21"/>
                    </w:rPr>
                  </w:pPr>
                </w:p>
              </w:tc>
            </w:tr>
            <w:tr w14:paraId="37C56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85" w:type="pct"/>
                  <w:vAlign w:val="center"/>
                </w:tcPr>
                <w:p w14:paraId="10C1314D">
                  <w:pPr>
                    <w:pStyle w:val="348"/>
                    <w:jc w:val="center"/>
                    <w:rPr>
                      <w:color w:val="000000"/>
                      <w:sz w:val="21"/>
                      <w:szCs w:val="21"/>
                    </w:rPr>
                  </w:pPr>
                  <w:r>
                    <w:rPr>
                      <w:rFonts w:hint="eastAsia"/>
                      <w:sz w:val="21"/>
                      <w:szCs w:val="21"/>
                    </w:rPr>
                    <w:t>粉煤灰</w:t>
                  </w:r>
                  <w:r>
                    <w:rPr>
                      <w:sz w:val="21"/>
                      <w:szCs w:val="21"/>
                    </w:rPr>
                    <w:t>筒仓</w:t>
                  </w:r>
                  <w:r>
                    <w:rPr>
                      <w:rFonts w:hint="eastAsia"/>
                      <w:sz w:val="21"/>
                      <w:szCs w:val="21"/>
                    </w:rPr>
                    <w:t>仓顶除尘器</w:t>
                  </w:r>
                </w:p>
              </w:tc>
              <w:tc>
                <w:tcPr>
                  <w:tcW w:w="1320" w:type="pct"/>
                  <w:vAlign w:val="center"/>
                </w:tcPr>
                <w:p w14:paraId="5E8D1AB5">
                  <w:pPr>
                    <w:jc w:val="center"/>
                  </w:pPr>
                  <w:r>
                    <w:rPr>
                      <w:rFonts w:hint="eastAsia"/>
                    </w:rPr>
                    <w:t>1.7882</w:t>
                  </w:r>
                </w:p>
              </w:tc>
              <w:tc>
                <w:tcPr>
                  <w:tcW w:w="1795" w:type="pct"/>
                  <w:vMerge w:val="continue"/>
                  <w:vAlign w:val="center"/>
                </w:tcPr>
                <w:p w14:paraId="66467362">
                  <w:pPr>
                    <w:jc w:val="center"/>
                    <w:rPr>
                      <w:bCs/>
                      <w:color w:val="000000"/>
                      <w:kern w:val="0"/>
                      <w:szCs w:val="21"/>
                    </w:rPr>
                  </w:pPr>
                </w:p>
              </w:tc>
            </w:tr>
            <w:tr w14:paraId="666C5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85" w:type="pct"/>
                  <w:vAlign w:val="center"/>
                </w:tcPr>
                <w:p w14:paraId="2B9143D9">
                  <w:pPr>
                    <w:pStyle w:val="348"/>
                    <w:jc w:val="center"/>
                    <w:rPr>
                      <w:sz w:val="21"/>
                      <w:szCs w:val="21"/>
                    </w:rPr>
                  </w:pPr>
                  <w:r>
                    <w:rPr>
                      <w:rFonts w:hint="eastAsia"/>
                      <w:sz w:val="21"/>
                      <w:szCs w:val="21"/>
                    </w:rPr>
                    <w:t>包装机除尘器</w:t>
                  </w:r>
                </w:p>
              </w:tc>
              <w:tc>
                <w:tcPr>
                  <w:tcW w:w="1320" w:type="pct"/>
                  <w:vAlign w:val="center"/>
                </w:tcPr>
                <w:p w14:paraId="7EE4AAA7">
                  <w:pPr>
                    <w:jc w:val="center"/>
                  </w:pPr>
                  <w:r>
                    <w:rPr>
                      <w:rFonts w:hint="eastAsia"/>
                    </w:rPr>
                    <w:t>2.27</w:t>
                  </w:r>
                </w:p>
              </w:tc>
              <w:tc>
                <w:tcPr>
                  <w:tcW w:w="1795" w:type="pct"/>
                  <w:vAlign w:val="center"/>
                </w:tcPr>
                <w:p w14:paraId="2573CC2B">
                  <w:pPr>
                    <w:jc w:val="center"/>
                    <w:rPr>
                      <w:bCs/>
                      <w:color w:val="000000"/>
                      <w:kern w:val="0"/>
                      <w:szCs w:val="21"/>
                    </w:rPr>
                  </w:pPr>
                  <w:r>
                    <w:rPr>
                      <w:rFonts w:hint="eastAsia"/>
                      <w:bCs/>
                      <w:color w:val="000000"/>
                      <w:kern w:val="0"/>
                      <w:szCs w:val="21"/>
                    </w:rPr>
                    <w:t>返回装袋仓回用。</w:t>
                  </w:r>
                </w:p>
              </w:tc>
            </w:tr>
            <w:tr w14:paraId="2FD70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85" w:type="pct"/>
                  <w:vAlign w:val="center"/>
                </w:tcPr>
                <w:p w14:paraId="6687FA06">
                  <w:pPr>
                    <w:pStyle w:val="348"/>
                    <w:jc w:val="center"/>
                    <w:rPr>
                      <w:color w:val="000000"/>
                      <w:sz w:val="21"/>
                      <w:szCs w:val="21"/>
                    </w:rPr>
                  </w:pPr>
                  <w:r>
                    <w:rPr>
                      <w:rFonts w:hint="eastAsia"/>
                      <w:sz w:val="21"/>
                      <w:szCs w:val="21"/>
                    </w:rPr>
                    <w:t>主楼散装除尘器</w:t>
                  </w:r>
                </w:p>
              </w:tc>
              <w:tc>
                <w:tcPr>
                  <w:tcW w:w="1320" w:type="pct"/>
                  <w:vAlign w:val="center"/>
                </w:tcPr>
                <w:p w14:paraId="098F92C6">
                  <w:pPr>
                    <w:jc w:val="center"/>
                  </w:pPr>
                  <w:r>
                    <w:rPr>
                      <w:rFonts w:hint="eastAsia"/>
                    </w:rPr>
                    <w:t>6.58</w:t>
                  </w:r>
                </w:p>
              </w:tc>
              <w:tc>
                <w:tcPr>
                  <w:tcW w:w="1795" w:type="pct"/>
                  <w:vMerge w:val="restart"/>
                  <w:vAlign w:val="center"/>
                </w:tcPr>
                <w:p w14:paraId="63FE5A31">
                  <w:pPr>
                    <w:jc w:val="center"/>
                    <w:rPr>
                      <w:bCs/>
                      <w:color w:val="000000"/>
                      <w:kern w:val="0"/>
                      <w:szCs w:val="21"/>
                    </w:rPr>
                  </w:pPr>
                  <w:r>
                    <w:rPr>
                      <w:rFonts w:hint="eastAsia"/>
                      <w:bCs/>
                      <w:color w:val="000000"/>
                      <w:kern w:val="0"/>
                      <w:szCs w:val="21"/>
                    </w:rPr>
                    <w:t>返回产品仓。</w:t>
                  </w:r>
                </w:p>
              </w:tc>
            </w:tr>
            <w:tr w14:paraId="68E4D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85" w:type="pct"/>
                  <w:vAlign w:val="center"/>
                </w:tcPr>
                <w:p w14:paraId="67291FB9">
                  <w:pPr>
                    <w:pStyle w:val="348"/>
                    <w:jc w:val="center"/>
                    <w:rPr>
                      <w:color w:val="000000"/>
                      <w:sz w:val="21"/>
                      <w:szCs w:val="21"/>
                    </w:rPr>
                  </w:pPr>
                  <w:r>
                    <w:rPr>
                      <w:rFonts w:hint="eastAsia"/>
                      <w:sz w:val="21"/>
                      <w:szCs w:val="21"/>
                    </w:rPr>
                    <w:t>成品仓散装除尘器</w:t>
                  </w:r>
                </w:p>
              </w:tc>
              <w:tc>
                <w:tcPr>
                  <w:tcW w:w="1320" w:type="pct"/>
                  <w:vAlign w:val="center"/>
                </w:tcPr>
                <w:p w14:paraId="2FB2F179">
                  <w:pPr>
                    <w:jc w:val="center"/>
                  </w:pPr>
                  <w:r>
                    <w:rPr>
                      <w:rFonts w:hint="eastAsia"/>
                    </w:rPr>
                    <w:t>14.955</w:t>
                  </w:r>
                </w:p>
              </w:tc>
              <w:tc>
                <w:tcPr>
                  <w:tcW w:w="1795" w:type="pct"/>
                  <w:vMerge w:val="continue"/>
                  <w:vAlign w:val="center"/>
                </w:tcPr>
                <w:p w14:paraId="7EE66CB2">
                  <w:pPr>
                    <w:jc w:val="center"/>
                    <w:rPr>
                      <w:bCs/>
                      <w:color w:val="000000"/>
                      <w:kern w:val="0"/>
                      <w:szCs w:val="21"/>
                    </w:rPr>
                  </w:pPr>
                </w:p>
              </w:tc>
            </w:tr>
            <w:tr w14:paraId="6166B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85" w:type="pct"/>
                  <w:vAlign w:val="center"/>
                </w:tcPr>
                <w:p w14:paraId="2EE37420">
                  <w:pPr>
                    <w:pStyle w:val="348"/>
                    <w:jc w:val="center"/>
                    <w:rPr>
                      <w:color w:val="000000"/>
                      <w:sz w:val="21"/>
                      <w:szCs w:val="21"/>
                    </w:rPr>
                  </w:pPr>
                  <w:r>
                    <w:rPr>
                      <w:rFonts w:hint="eastAsia"/>
                      <w:sz w:val="21"/>
                      <w:szCs w:val="21"/>
                    </w:rPr>
                    <w:t>成品仓仓顶除尘器</w:t>
                  </w:r>
                </w:p>
              </w:tc>
              <w:tc>
                <w:tcPr>
                  <w:tcW w:w="1320" w:type="pct"/>
                  <w:vAlign w:val="center"/>
                </w:tcPr>
                <w:p w14:paraId="66EAAB6A">
                  <w:pPr>
                    <w:jc w:val="center"/>
                  </w:pPr>
                  <w:r>
                    <w:rPr>
                      <w:rFonts w:hint="eastAsia"/>
                    </w:rPr>
                    <w:t>14.961</w:t>
                  </w:r>
                </w:p>
              </w:tc>
              <w:tc>
                <w:tcPr>
                  <w:tcW w:w="1795" w:type="pct"/>
                  <w:vMerge w:val="continue"/>
                  <w:vAlign w:val="center"/>
                </w:tcPr>
                <w:p w14:paraId="53BEFFC3">
                  <w:pPr>
                    <w:jc w:val="center"/>
                    <w:rPr>
                      <w:bCs/>
                      <w:color w:val="000000"/>
                      <w:kern w:val="0"/>
                      <w:szCs w:val="21"/>
                    </w:rPr>
                  </w:pPr>
                </w:p>
              </w:tc>
            </w:tr>
            <w:tr w14:paraId="2FC36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85" w:type="pct"/>
                  <w:vAlign w:val="center"/>
                </w:tcPr>
                <w:p w14:paraId="3CB3819E">
                  <w:pPr>
                    <w:pStyle w:val="348"/>
                    <w:jc w:val="center"/>
                    <w:rPr>
                      <w:sz w:val="21"/>
                      <w:szCs w:val="21"/>
                    </w:rPr>
                  </w:pPr>
                  <w:r>
                    <w:rPr>
                      <w:rFonts w:hint="eastAsia"/>
                      <w:sz w:val="21"/>
                      <w:szCs w:val="21"/>
                    </w:rPr>
                    <w:t>合计</w:t>
                  </w:r>
                </w:p>
              </w:tc>
              <w:tc>
                <w:tcPr>
                  <w:tcW w:w="1320" w:type="pct"/>
                  <w:vAlign w:val="center"/>
                </w:tcPr>
                <w:p w14:paraId="4D804EE2">
                  <w:pPr>
                    <w:jc w:val="center"/>
                  </w:pPr>
                  <w:r>
                    <w:fldChar w:fldCharType="begin"/>
                  </w:r>
                  <w:r>
                    <w:instrText xml:space="preserve"> =SUM(ABOVE) </w:instrText>
                  </w:r>
                  <w:r>
                    <w:fldChar w:fldCharType="separate"/>
                  </w:r>
                  <w:r>
                    <w:t>91.1616</w:t>
                  </w:r>
                  <w:r>
                    <w:fldChar w:fldCharType="end"/>
                  </w:r>
                </w:p>
              </w:tc>
              <w:tc>
                <w:tcPr>
                  <w:tcW w:w="1795" w:type="pct"/>
                  <w:vAlign w:val="center"/>
                </w:tcPr>
                <w:p w14:paraId="4E5F0EB0">
                  <w:pPr>
                    <w:jc w:val="center"/>
                    <w:rPr>
                      <w:bCs/>
                      <w:color w:val="000000"/>
                      <w:kern w:val="0"/>
                      <w:szCs w:val="21"/>
                    </w:rPr>
                  </w:pPr>
                  <w:r>
                    <w:rPr>
                      <w:rFonts w:hint="eastAsia"/>
                      <w:bCs/>
                      <w:color w:val="000000"/>
                      <w:kern w:val="0"/>
                      <w:szCs w:val="21"/>
                    </w:rPr>
                    <w:t>/</w:t>
                  </w:r>
                </w:p>
              </w:tc>
            </w:tr>
          </w:tbl>
          <w:p w14:paraId="76508F00">
            <w:pPr>
              <w:spacing w:line="360" w:lineRule="auto"/>
              <w:ind w:firstLine="480" w:firstLineChars="200"/>
              <w:rPr>
                <w:sz w:val="24"/>
              </w:rPr>
            </w:pPr>
            <w:bookmarkStart w:id="21" w:name="_Hlk175747227"/>
            <w:r>
              <w:rPr>
                <w:sz w:val="24"/>
              </w:rPr>
              <w:t>（2）</w:t>
            </w:r>
            <w:r>
              <w:rPr>
                <w:rFonts w:hint="eastAsia"/>
                <w:sz w:val="24"/>
              </w:rPr>
              <w:t>废除尘布袋</w:t>
            </w:r>
          </w:p>
          <w:p w14:paraId="0B8AEB57">
            <w:pPr>
              <w:spacing w:line="360" w:lineRule="auto"/>
              <w:ind w:firstLine="480" w:firstLineChars="200"/>
              <w:rPr>
                <w:sz w:val="24"/>
              </w:rPr>
            </w:pPr>
            <w:r>
              <w:rPr>
                <w:rFonts w:hint="eastAsia"/>
                <w:sz w:val="24"/>
              </w:rPr>
              <w:t>本项目除尘设施所使用的布袋总数量大约</w:t>
            </w:r>
            <w:r>
              <w:rPr>
                <w:sz w:val="24"/>
              </w:rPr>
              <w:t>0.6t</w:t>
            </w:r>
            <w:r>
              <w:rPr>
                <w:rFonts w:hint="eastAsia"/>
                <w:sz w:val="24"/>
              </w:rPr>
              <w:t>，保守按照废旧布袋产率</w:t>
            </w:r>
            <w:r>
              <w:rPr>
                <w:sz w:val="24"/>
              </w:rPr>
              <w:t>20%</w:t>
            </w:r>
            <w:r>
              <w:rPr>
                <w:rFonts w:hint="eastAsia"/>
                <w:sz w:val="24"/>
              </w:rPr>
              <w:t>计算，每年大约产生</w:t>
            </w:r>
            <w:r>
              <w:rPr>
                <w:sz w:val="24"/>
              </w:rPr>
              <w:t>0.12t</w:t>
            </w:r>
            <w:r>
              <w:rPr>
                <w:rFonts w:hint="eastAsia"/>
                <w:sz w:val="24"/>
              </w:rPr>
              <w:t>废除尘布袋，暂时存放于生产车间的库房内，由布袋除尘器运维厂家统一回收。</w:t>
            </w:r>
          </w:p>
          <w:p w14:paraId="6B73114A">
            <w:pPr>
              <w:tabs>
                <w:tab w:val="left" w:pos="3310"/>
              </w:tabs>
              <w:spacing w:line="360" w:lineRule="auto"/>
              <w:ind w:firstLine="480" w:firstLineChars="200"/>
              <w:rPr>
                <w:sz w:val="24"/>
              </w:rPr>
            </w:pPr>
            <w:r>
              <w:rPr>
                <w:rFonts w:hint="eastAsia"/>
                <w:sz w:val="24"/>
              </w:rPr>
              <w:t xml:space="preserve">（3）废包装袋 </w:t>
            </w:r>
          </w:p>
          <w:p w14:paraId="386B35ED">
            <w:pPr>
              <w:tabs>
                <w:tab w:val="left" w:pos="3310"/>
              </w:tabs>
              <w:spacing w:line="360" w:lineRule="auto"/>
              <w:ind w:firstLine="480" w:firstLineChars="200"/>
              <w:rPr>
                <w:sz w:val="24"/>
              </w:rPr>
            </w:pPr>
            <w:r>
              <w:rPr>
                <w:rFonts w:hint="eastAsia"/>
                <w:sz w:val="24"/>
              </w:rPr>
              <w:t>废包装袋包括外加剂废包装袋和本项目产品废包装袋。本项目外加剂年用量48</w:t>
            </w:r>
            <w:r>
              <w:rPr>
                <w:sz w:val="24"/>
              </w:rPr>
              <w:t>t</w:t>
            </w:r>
            <w:r>
              <w:rPr>
                <w:rFonts w:hint="eastAsia"/>
                <w:sz w:val="24"/>
              </w:rPr>
              <w:t>，袋装规格为</w:t>
            </w:r>
            <w:r>
              <w:rPr>
                <w:sz w:val="24"/>
              </w:rPr>
              <w:t>25kg/</w:t>
            </w:r>
            <w:r>
              <w:rPr>
                <w:rFonts w:hint="eastAsia"/>
                <w:sz w:val="24"/>
              </w:rPr>
              <w:t>袋，年产生废外加剂包装袋1920个，每个塑料袋大约重</w:t>
            </w:r>
            <w:r>
              <w:rPr>
                <w:sz w:val="24"/>
              </w:rPr>
              <w:t>50g</w:t>
            </w:r>
            <w:r>
              <w:rPr>
                <w:rFonts w:hint="eastAsia"/>
                <w:sz w:val="24"/>
              </w:rPr>
              <w:t>，外加剂废包装袋总重量0.096t。本项目产品包装年使用包装袋大约8</w:t>
            </w:r>
            <w:r>
              <w:rPr>
                <w:sz w:val="24"/>
              </w:rPr>
              <w:t>0</w:t>
            </w:r>
            <w:r>
              <w:rPr>
                <w:rFonts w:hint="eastAsia"/>
                <w:sz w:val="24"/>
              </w:rPr>
              <w:t>万个，装袋工序产生废弃包装的比例为</w:t>
            </w:r>
            <w:r>
              <w:rPr>
                <w:sz w:val="24"/>
              </w:rPr>
              <w:t>0.5%</w:t>
            </w:r>
            <w:r>
              <w:rPr>
                <w:rFonts w:hint="eastAsia"/>
                <w:sz w:val="24"/>
              </w:rPr>
              <w:t>，废包装袋大约</w:t>
            </w:r>
            <w:r>
              <w:rPr>
                <w:sz w:val="24"/>
              </w:rPr>
              <w:t>0.</w:t>
            </w:r>
            <w:r>
              <w:rPr>
                <w:rFonts w:hint="eastAsia"/>
                <w:sz w:val="24"/>
              </w:rPr>
              <w:t>4万个，每个塑料袋大约重</w:t>
            </w:r>
            <w:r>
              <w:rPr>
                <w:sz w:val="24"/>
              </w:rPr>
              <w:t>50g</w:t>
            </w:r>
            <w:r>
              <w:rPr>
                <w:rFonts w:hint="eastAsia"/>
                <w:sz w:val="24"/>
              </w:rPr>
              <w:t>，产品废包装袋总重量</w:t>
            </w:r>
            <w:r>
              <w:rPr>
                <w:sz w:val="24"/>
              </w:rPr>
              <w:t>0.</w:t>
            </w:r>
            <w:r>
              <w:rPr>
                <w:rFonts w:hint="eastAsia"/>
                <w:sz w:val="24"/>
              </w:rPr>
              <w:t>2</w:t>
            </w:r>
            <w:r>
              <w:rPr>
                <w:sz w:val="24"/>
              </w:rPr>
              <w:t>t</w:t>
            </w:r>
            <w:r>
              <w:rPr>
                <w:rFonts w:hint="eastAsia"/>
                <w:sz w:val="24"/>
              </w:rPr>
              <w:t>。综上，废塑料包装袋重大约0.296</w:t>
            </w:r>
            <w:r>
              <w:rPr>
                <w:sz w:val="24"/>
              </w:rPr>
              <w:t>t/a</w:t>
            </w:r>
            <w:r>
              <w:rPr>
                <w:rFonts w:hint="eastAsia"/>
                <w:sz w:val="24"/>
              </w:rPr>
              <w:t>。废塑料包装袋暂存于外加剂库房内，定期销售给附近的废品回收点回收利用。</w:t>
            </w:r>
          </w:p>
          <w:bookmarkEnd w:id="21"/>
          <w:p w14:paraId="04008A43">
            <w:pPr>
              <w:tabs>
                <w:tab w:val="left" w:pos="3310"/>
              </w:tabs>
              <w:spacing w:line="360" w:lineRule="auto"/>
              <w:ind w:firstLine="480" w:firstLineChars="200"/>
              <w:rPr>
                <w:sz w:val="24"/>
              </w:rPr>
            </w:pPr>
            <w:r>
              <w:rPr>
                <w:rFonts w:hint="eastAsia"/>
                <w:sz w:val="24"/>
              </w:rPr>
              <w:t xml:space="preserve">3. </w:t>
            </w:r>
            <w:r>
              <w:rPr>
                <w:sz w:val="24"/>
              </w:rPr>
              <w:t>危险废物</w:t>
            </w:r>
          </w:p>
          <w:p w14:paraId="23C4D28E">
            <w:pPr>
              <w:spacing w:line="360" w:lineRule="auto"/>
              <w:ind w:firstLine="480" w:firstLineChars="200"/>
              <w:rPr>
                <w:kern w:val="0"/>
                <w:sz w:val="24"/>
              </w:rPr>
            </w:pPr>
            <w:r>
              <w:rPr>
                <w:kern w:val="0"/>
                <w:sz w:val="24"/>
              </w:rPr>
              <w:t>（1）废机油</w:t>
            </w:r>
            <w:r>
              <w:rPr>
                <w:rFonts w:hint="eastAsia"/>
                <w:kern w:val="0"/>
                <w:sz w:val="24"/>
              </w:rPr>
              <w:t>、废油桶</w:t>
            </w:r>
          </w:p>
          <w:p w14:paraId="50CE5D7D">
            <w:pPr>
              <w:adjustRightInd w:val="0"/>
              <w:snapToGrid w:val="0"/>
              <w:spacing w:line="360" w:lineRule="auto"/>
              <w:ind w:firstLine="480" w:firstLineChars="200"/>
              <w:rPr>
                <w:rFonts w:hint="eastAsia" w:ascii="宋体" w:hAnsi="宋体" w:cs="宋体"/>
                <w:kern w:val="0"/>
                <w:sz w:val="24"/>
              </w:rPr>
            </w:pPr>
            <w:bookmarkStart w:id="22" w:name="_Hlk175747309"/>
            <w:r>
              <w:rPr>
                <w:rFonts w:hint="eastAsia"/>
                <w:kern w:val="0"/>
                <w:sz w:val="24"/>
              </w:rPr>
              <w:t>本项目机械设备维修及日常养护过程中需更换设备机油及润滑油，该过程中会产生废机油、废润滑油和废油桶，废机油和废油桶产生量约为0.5t/a，废润滑油产生量约为0.01t/a。根据《国家危险废物名录》（2021 年版），废机油、废润滑油和废油桶为危险废物，废润滑油危废类别HW08（代码：900-214-08），废机油和废油桶危废类别HW08（代码：900-249-08）。废机油与废润滑油通过设置专用的废油收集桶收集起来和废油桶全部暂存于危废贮存库，定期交由有资质单位处置。</w:t>
            </w:r>
          </w:p>
          <w:bookmarkEnd w:id="22"/>
          <w:p w14:paraId="17E55E54">
            <w:pPr>
              <w:adjustRightInd w:val="0"/>
              <w:snapToGrid w:val="0"/>
              <w:spacing w:line="360" w:lineRule="auto"/>
              <w:ind w:left="462" w:leftChars="220"/>
              <w:rPr>
                <w:kern w:val="0"/>
                <w:sz w:val="24"/>
              </w:rPr>
            </w:pPr>
            <w:r>
              <w:rPr>
                <w:kern w:val="0"/>
                <w:sz w:val="24"/>
              </w:rPr>
              <w:t>（2）</w:t>
            </w:r>
            <w:r>
              <w:rPr>
                <w:rFonts w:hint="eastAsia" w:ascii="宋体" w:hAnsi="宋体" w:cs="宋体"/>
                <w:kern w:val="0"/>
                <w:sz w:val="24"/>
              </w:rPr>
              <w:t>废含油手套、棉纱等</w:t>
            </w:r>
          </w:p>
          <w:p w14:paraId="55606ECB">
            <w:pPr>
              <w:widowControl/>
              <w:adjustRightInd w:val="0"/>
              <w:snapToGrid w:val="0"/>
              <w:spacing w:line="360" w:lineRule="auto"/>
              <w:ind w:firstLine="480" w:firstLineChars="200"/>
              <w:rPr>
                <w:kern w:val="0"/>
                <w:sz w:val="24"/>
              </w:rPr>
            </w:pPr>
            <w:bookmarkStart w:id="23" w:name="_Hlk175747322"/>
            <w:r>
              <w:rPr>
                <w:rFonts w:hint="eastAsia"/>
                <w:kern w:val="0"/>
                <w:sz w:val="24"/>
              </w:rPr>
              <w:t>机油更换过程或设备维修保养过程中会产生一定数量的废含油手套和废棉纱等，产生量约为0.05t/a。根据《国家危险废物名录》（2021年版），废含油手套、棉纱等为危险废物，危废类别HW49（代码：900-041-49）。废含油手套、棉纱等集中使用专门的容器收集起来暂存于危废贮存库，定期交由有资质单位处置。</w:t>
            </w:r>
          </w:p>
          <w:bookmarkEnd w:id="23"/>
          <w:p w14:paraId="6F873703">
            <w:pPr>
              <w:widowControl/>
              <w:adjustRightInd w:val="0"/>
              <w:snapToGrid w:val="0"/>
              <w:spacing w:line="360" w:lineRule="auto"/>
              <w:ind w:firstLine="480" w:firstLineChars="200"/>
              <w:rPr>
                <w:kern w:val="0"/>
                <w:sz w:val="24"/>
              </w:rPr>
            </w:pPr>
            <w:r>
              <w:rPr>
                <w:rFonts w:hint="eastAsia"/>
                <w:kern w:val="0"/>
                <w:sz w:val="24"/>
              </w:rPr>
              <w:t>本项目危险废物产生情况及危害特性见表4-13。</w:t>
            </w:r>
            <w:bookmarkStart w:id="24" w:name="_Hlk175747330"/>
            <w:r>
              <w:rPr>
                <w:rFonts w:hint="eastAsia"/>
                <w:kern w:val="0"/>
                <w:sz w:val="24"/>
              </w:rPr>
              <w:t>本项目新建20m</w:t>
            </w:r>
            <w:r>
              <w:rPr>
                <w:kern w:val="0"/>
                <w:sz w:val="24"/>
                <w:vertAlign w:val="superscript"/>
              </w:rPr>
              <w:t>2</w:t>
            </w:r>
            <w:r>
              <w:rPr>
                <w:rFonts w:hint="eastAsia"/>
                <w:kern w:val="0"/>
                <w:sz w:val="24"/>
              </w:rPr>
              <w:t>危废贮存库，以上危险废物分区收集于危废贮存库后定期交有资质单位进行处理。</w:t>
            </w:r>
          </w:p>
          <w:bookmarkEnd w:id="24"/>
          <w:p w14:paraId="3156630E">
            <w:pPr>
              <w:spacing w:line="360" w:lineRule="auto"/>
              <w:jc w:val="center"/>
              <w:rPr>
                <w:b/>
                <w:szCs w:val="21"/>
              </w:rPr>
            </w:pPr>
            <w:r>
              <w:rPr>
                <w:b/>
                <w:szCs w:val="21"/>
              </w:rPr>
              <w:t>表4-</w:t>
            </w:r>
            <w:r>
              <w:rPr>
                <w:rFonts w:hint="eastAsia"/>
                <w:b/>
                <w:szCs w:val="21"/>
              </w:rPr>
              <w:t>13</w:t>
            </w:r>
            <w:r>
              <w:rPr>
                <w:b/>
                <w:szCs w:val="21"/>
              </w:rPr>
              <w:t xml:space="preserve"> 危险废物产生情况</w:t>
            </w:r>
          </w:p>
          <w:tbl>
            <w:tblPr>
              <w:tblStyle w:val="3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23"/>
              <w:gridCol w:w="735"/>
              <w:gridCol w:w="776"/>
              <w:gridCol w:w="1258"/>
              <w:gridCol w:w="846"/>
              <w:gridCol w:w="930"/>
              <w:gridCol w:w="690"/>
              <w:gridCol w:w="828"/>
              <w:gridCol w:w="1298"/>
            </w:tblGrid>
            <w:tr w14:paraId="31E032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4" w:hRule="atLeast"/>
                <w:jc w:val="center"/>
              </w:trPr>
              <w:tc>
                <w:tcPr>
                  <w:tcW w:w="335" w:type="pct"/>
                  <w:vAlign w:val="center"/>
                </w:tcPr>
                <w:p w14:paraId="5A22D864">
                  <w:pPr>
                    <w:widowControl/>
                    <w:jc w:val="center"/>
                    <w:rPr>
                      <w:bCs/>
                      <w:snapToGrid w:val="0"/>
                      <w:kern w:val="0"/>
                      <w:szCs w:val="21"/>
                    </w:rPr>
                  </w:pPr>
                  <w:r>
                    <w:rPr>
                      <w:bCs/>
                      <w:snapToGrid w:val="0"/>
                      <w:kern w:val="0"/>
                      <w:szCs w:val="21"/>
                    </w:rPr>
                    <w:t>序号</w:t>
                  </w:r>
                </w:p>
              </w:tc>
              <w:tc>
                <w:tcPr>
                  <w:tcW w:w="469" w:type="pct"/>
                  <w:vAlign w:val="center"/>
                </w:tcPr>
                <w:p w14:paraId="05D45909">
                  <w:pPr>
                    <w:widowControl/>
                    <w:jc w:val="center"/>
                    <w:rPr>
                      <w:bCs/>
                      <w:snapToGrid w:val="0"/>
                      <w:kern w:val="0"/>
                      <w:szCs w:val="21"/>
                    </w:rPr>
                  </w:pPr>
                  <w:r>
                    <w:rPr>
                      <w:bCs/>
                      <w:snapToGrid w:val="0"/>
                      <w:kern w:val="0"/>
                      <w:szCs w:val="21"/>
                    </w:rPr>
                    <w:t>名称</w:t>
                  </w:r>
                </w:p>
              </w:tc>
              <w:tc>
                <w:tcPr>
                  <w:tcW w:w="482" w:type="pct"/>
                  <w:vAlign w:val="center"/>
                </w:tcPr>
                <w:p w14:paraId="3E68668B">
                  <w:pPr>
                    <w:widowControl/>
                    <w:jc w:val="center"/>
                    <w:rPr>
                      <w:bCs/>
                      <w:snapToGrid w:val="0"/>
                      <w:kern w:val="0"/>
                      <w:szCs w:val="21"/>
                    </w:rPr>
                  </w:pPr>
                  <w:r>
                    <w:rPr>
                      <w:bCs/>
                      <w:snapToGrid w:val="0"/>
                      <w:kern w:val="0"/>
                      <w:szCs w:val="21"/>
                    </w:rPr>
                    <w:t>类别</w:t>
                  </w:r>
                </w:p>
              </w:tc>
              <w:tc>
                <w:tcPr>
                  <w:tcW w:w="801" w:type="pct"/>
                  <w:vAlign w:val="center"/>
                </w:tcPr>
                <w:p w14:paraId="4632A5C8">
                  <w:pPr>
                    <w:widowControl/>
                    <w:jc w:val="center"/>
                    <w:rPr>
                      <w:bCs/>
                      <w:snapToGrid w:val="0"/>
                      <w:kern w:val="0"/>
                      <w:szCs w:val="21"/>
                    </w:rPr>
                  </w:pPr>
                  <w:r>
                    <w:rPr>
                      <w:bCs/>
                      <w:snapToGrid w:val="0"/>
                      <w:kern w:val="0"/>
                      <w:szCs w:val="21"/>
                    </w:rPr>
                    <w:t>代码</w:t>
                  </w:r>
                </w:p>
              </w:tc>
              <w:tc>
                <w:tcPr>
                  <w:tcW w:w="525" w:type="pct"/>
                  <w:vAlign w:val="center"/>
                </w:tcPr>
                <w:p w14:paraId="200EC7D8">
                  <w:pPr>
                    <w:widowControl/>
                    <w:jc w:val="center"/>
                    <w:rPr>
                      <w:bCs/>
                      <w:snapToGrid w:val="0"/>
                      <w:kern w:val="0"/>
                      <w:szCs w:val="21"/>
                    </w:rPr>
                  </w:pPr>
                  <w:r>
                    <w:rPr>
                      <w:bCs/>
                      <w:snapToGrid w:val="0"/>
                      <w:kern w:val="0"/>
                      <w:szCs w:val="21"/>
                    </w:rPr>
                    <w:t>产生量（t/a）</w:t>
                  </w:r>
                </w:p>
              </w:tc>
              <w:tc>
                <w:tcPr>
                  <w:tcW w:w="593" w:type="pct"/>
                  <w:vAlign w:val="center"/>
                </w:tcPr>
                <w:p w14:paraId="7215694E">
                  <w:pPr>
                    <w:widowControl/>
                    <w:jc w:val="center"/>
                    <w:rPr>
                      <w:bCs/>
                      <w:snapToGrid w:val="0"/>
                      <w:kern w:val="0"/>
                      <w:szCs w:val="21"/>
                    </w:rPr>
                  </w:pPr>
                  <w:r>
                    <w:rPr>
                      <w:bCs/>
                      <w:snapToGrid w:val="0"/>
                      <w:kern w:val="0"/>
                      <w:szCs w:val="21"/>
                    </w:rPr>
                    <w:t>产生</w:t>
                  </w:r>
                </w:p>
                <w:p w14:paraId="3A75CC3F">
                  <w:pPr>
                    <w:widowControl/>
                    <w:jc w:val="center"/>
                    <w:rPr>
                      <w:bCs/>
                      <w:snapToGrid w:val="0"/>
                      <w:kern w:val="0"/>
                      <w:szCs w:val="21"/>
                    </w:rPr>
                  </w:pPr>
                  <w:r>
                    <w:rPr>
                      <w:bCs/>
                      <w:snapToGrid w:val="0"/>
                      <w:kern w:val="0"/>
                      <w:szCs w:val="21"/>
                    </w:rPr>
                    <w:t>工序</w:t>
                  </w:r>
                </w:p>
              </w:tc>
              <w:tc>
                <w:tcPr>
                  <w:tcW w:w="441" w:type="pct"/>
                  <w:vAlign w:val="center"/>
                </w:tcPr>
                <w:p w14:paraId="542970EA">
                  <w:pPr>
                    <w:widowControl/>
                    <w:jc w:val="center"/>
                    <w:rPr>
                      <w:bCs/>
                      <w:snapToGrid w:val="0"/>
                      <w:kern w:val="0"/>
                      <w:szCs w:val="21"/>
                    </w:rPr>
                  </w:pPr>
                  <w:r>
                    <w:rPr>
                      <w:bCs/>
                      <w:snapToGrid w:val="0"/>
                      <w:kern w:val="0"/>
                      <w:szCs w:val="21"/>
                    </w:rPr>
                    <w:t>形态</w:t>
                  </w:r>
                </w:p>
              </w:tc>
              <w:tc>
                <w:tcPr>
                  <w:tcW w:w="528" w:type="pct"/>
                  <w:vAlign w:val="center"/>
                </w:tcPr>
                <w:p w14:paraId="54DDADA7">
                  <w:pPr>
                    <w:widowControl/>
                    <w:jc w:val="center"/>
                    <w:rPr>
                      <w:bCs/>
                      <w:snapToGrid w:val="0"/>
                      <w:kern w:val="0"/>
                      <w:szCs w:val="21"/>
                    </w:rPr>
                  </w:pPr>
                  <w:r>
                    <w:rPr>
                      <w:bCs/>
                      <w:snapToGrid w:val="0"/>
                      <w:kern w:val="0"/>
                      <w:szCs w:val="21"/>
                    </w:rPr>
                    <w:t>危险</w:t>
                  </w:r>
                </w:p>
                <w:p w14:paraId="575BC80B">
                  <w:pPr>
                    <w:widowControl/>
                    <w:jc w:val="center"/>
                    <w:rPr>
                      <w:bCs/>
                      <w:snapToGrid w:val="0"/>
                      <w:kern w:val="0"/>
                      <w:szCs w:val="21"/>
                    </w:rPr>
                  </w:pPr>
                  <w:r>
                    <w:rPr>
                      <w:bCs/>
                      <w:snapToGrid w:val="0"/>
                      <w:kern w:val="0"/>
                      <w:szCs w:val="21"/>
                    </w:rPr>
                    <w:t>特性</w:t>
                  </w:r>
                </w:p>
              </w:tc>
              <w:tc>
                <w:tcPr>
                  <w:tcW w:w="828" w:type="pct"/>
                  <w:vAlign w:val="center"/>
                </w:tcPr>
                <w:p w14:paraId="771628CE">
                  <w:pPr>
                    <w:widowControl/>
                    <w:jc w:val="center"/>
                    <w:rPr>
                      <w:bCs/>
                      <w:snapToGrid w:val="0"/>
                      <w:kern w:val="0"/>
                      <w:szCs w:val="21"/>
                    </w:rPr>
                  </w:pPr>
                  <w:r>
                    <w:rPr>
                      <w:bCs/>
                      <w:snapToGrid w:val="0"/>
                      <w:kern w:val="0"/>
                      <w:szCs w:val="21"/>
                    </w:rPr>
                    <w:t>污染防治</w:t>
                  </w:r>
                </w:p>
                <w:p w14:paraId="28286CBC">
                  <w:pPr>
                    <w:widowControl/>
                    <w:jc w:val="center"/>
                    <w:rPr>
                      <w:bCs/>
                      <w:snapToGrid w:val="0"/>
                      <w:kern w:val="0"/>
                      <w:szCs w:val="21"/>
                    </w:rPr>
                  </w:pPr>
                  <w:r>
                    <w:rPr>
                      <w:bCs/>
                      <w:snapToGrid w:val="0"/>
                      <w:kern w:val="0"/>
                      <w:szCs w:val="21"/>
                    </w:rPr>
                    <w:t>措施</w:t>
                  </w:r>
                </w:p>
              </w:tc>
            </w:tr>
            <w:tr w14:paraId="73572D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35" w:type="pct"/>
                  <w:vMerge w:val="restart"/>
                  <w:vAlign w:val="center"/>
                </w:tcPr>
                <w:p w14:paraId="0100254A">
                  <w:pPr>
                    <w:widowControl/>
                    <w:jc w:val="center"/>
                    <w:rPr>
                      <w:bCs/>
                      <w:snapToGrid w:val="0"/>
                      <w:kern w:val="0"/>
                      <w:szCs w:val="21"/>
                    </w:rPr>
                  </w:pPr>
                  <w:r>
                    <w:rPr>
                      <w:bCs/>
                      <w:snapToGrid w:val="0"/>
                      <w:kern w:val="0"/>
                      <w:szCs w:val="21"/>
                    </w:rPr>
                    <w:t>1</w:t>
                  </w:r>
                </w:p>
              </w:tc>
              <w:tc>
                <w:tcPr>
                  <w:tcW w:w="469" w:type="pct"/>
                  <w:vAlign w:val="center"/>
                </w:tcPr>
                <w:p w14:paraId="7DA34818">
                  <w:pPr>
                    <w:widowControl/>
                    <w:jc w:val="center"/>
                    <w:rPr>
                      <w:bCs/>
                      <w:snapToGrid w:val="0"/>
                      <w:kern w:val="0"/>
                      <w:szCs w:val="21"/>
                    </w:rPr>
                  </w:pPr>
                  <w:r>
                    <w:rPr>
                      <w:bCs/>
                      <w:snapToGrid w:val="0"/>
                      <w:kern w:val="0"/>
                      <w:szCs w:val="21"/>
                    </w:rPr>
                    <w:t>废机油</w:t>
                  </w:r>
                </w:p>
              </w:tc>
              <w:tc>
                <w:tcPr>
                  <w:tcW w:w="482" w:type="pct"/>
                  <w:vMerge w:val="restart"/>
                  <w:vAlign w:val="center"/>
                </w:tcPr>
                <w:p w14:paraId="7C11B41B">
                  <w:pPr>
                    <w:widowControl/>
                    <w:jc w:val="center"/>
                    <w:rPr>
                      <w:bCs/>
                      <w:snapToGrid w:val="0"/>
                      <w:kern w:val="0"/>
                      <w:szCs w:val="21"/>
                    </w:rPr>
                  </w:pPr>
                  <w:r>
                    <w:rPr>
                      <w:bCs/>
                      <w:kern w:val="0"/>
                      <w:szCs w:val="21"/>
                    </w:rPr>
                    <w:t>HW08</w:t>
                  </w:r>
                </w:p>
              </w:tc>
              <w:tc>
                <w:tcPr>
                  <w:tcW w:w="801" w:type="pct"/>
                  <w:vMerge w:val="restart"/>
                  <w:vAlign w:val="center"/>
                </w:tcPr>
                <w:p w14:paraId="4E37710F">
                  <w:pPr>
                    <w:widowControl/>
                    <w:jc w:val="center"/>
                    <w:rPr>
                      <w:bCs/>
                      <w:snapToGrid w:val="0"/>
                      <w:kern w:val="0"/>
                      <w:szCs w:val="21"/>
                    </w:rPr>
                  </w:pPr>
                  <w:r>
                    <w:rPr>
                      <w:bCs/>
                      <w:kern w:val="24"/>
                      <w:szCs w:val="21"/>
                    </w:rPr>
                    <w:t>900-249-08</w:t>
                  </w:r>
                </w:p>
              </w:tc>
              <w:tc>
                <w:tcPr>
                  <w:tcW w:w="525" w:type="pct"/>
                  <w:vMerge w:val="restart"/>
                  <w:vAlign w:val="center"/>
                </w:tcPr>
                <w:p w14:paraId="3FF93307">
                  <w:pPr>
                    <w:widowControl/>
                    <w:jc w:val="center"/>
                    <w:rPr>
                      <w:bCs/>
                      <w:snapToGrid w:val="0"/>
                      <w:kern w:val="0"/>
                      <w:szCs w:val="21"/>
                    </w:rPr>
                  </w:pPr>
                  <w:r>
                    <w:rPr>
                      <w:rFonts w:hint="eastAsia"/>
                      <w:bCs/>
                      <w:snapToGrid w:val="0"/>
                      <w:kern w:val="0"/>
                      <w:szCs w:val="21"/>
                    </w:rPr>
                    <w:t>0</w:t>
                  </w:r>
                  <w:r>
                    <w:rPr>
                      <w:bCs/>
                      <w:snapToGrid w:val="0"/>
                      <w:kern w:val="0"/>
                      <w:szCs w:val="21"/>
                    </w:rPr>
                    <w:t>.50</w:t>
                  </w:r>
                </w:p>
              </w:tc>
              <w:tc>
                <w:tcPr>
                  <w:tcW w:w="593" w:type="pct"/>
                  <w:vMerge w:val="restart"/>
                  <w:vAlign w:val="center"/>
                </w:tcPr>
                <w:p w14:paraId="56276091">
                  <w:pPr>
                    <w:widowControl/>
                    <w:jc w:val="center"/>
                    <w:rPr>
                      <w:bCs/>
                      <w:snapToGrid w:val="0"/>
                      <w:kern w:val="0"/>
                      <w:szCs w:val="21"/>
                    </w:rPr>
                  </w:pPr>
                  <w:r>
                    <w:rPr>
                      <w:bCs/>
                      <w:snapToGrid w:val="0"/>
                      <w:kern w:val="0"/>
                      <w:szCs w:val="21"/>
                    </w:rPr>
                    <w:t>设备维修</w:t>
                  </w:r>
                  <w:r>
                    <w:rPr>
                      <w:rFonts w:hint="eastAsia"/>
                      <w:bCs/>
                      <w:snapToGrid w:val="0"/>
                      <w:kern w:val="0"/>
                      <w:szCs w:val="21"/>
                    </w:rPr>
                    <w:t>、保养</w:t>
                  </w:r>
                </w:p>
              </w:tc>
              <w:tc>
                <w:tcPr>
                  <w:tcW w:w="441" w:type="pct"/>
                  <w:vAlign w:val="center"/>
                </w:tcPr>
                <w:p w14:paraId="3FB09063">
                  <w:pPr>
                    <w:widowControl/>
                    <w:jc w:val="center"/>
                    <w:rPr>
                      <w:bCs/>
                      <w:snapToGrid w:val="0"/>
                      <w:kern w:val="0"/>
                      <w:szCs w:val="21"/>
                    </w:rPr>
                  </w:pPr>
                  <w:r>
                    <w:rPr>
                      <w:bCs/>
                      <w:snapToGrid w:val="0"/>
                      <w:kern w:val="0"/>
                      <w:szCs w:val="21"/>
                    </w:rPr>
                    <w:t>液态</w:t>
                  </w:r>
                </w:p>
              </w:tc>
              <w:tc>
                <w:tcPr>
                  <w:tcW w:w="528" w:type="pct"/>
                  <w:vMerge w:val="restart"/>
                  <w:vAlign w:val="center"/>
                </w:tcPr>
                <w:p w14:paraId="73A00D83">
                  <w:pPr>
                    <w:widowControl/>
                    <w:jc w:val="center"/>
                    <w:rPr>
                      <w:bCs/>
                      <w:snapToGrid w:val="0"/>
                      <w:kern w:val="0"/>
                      <w:szCs w:val="21"/>
                    </w:rPr>
                  </w:pPr>
                  <w:r>
                    <w:rPr>
                      <w:bCs/>
                      <w:snapToGrid w:val="0"/>
                      <w:kern w:val="0"/>
                      <w:szCs w:val="21"/>
                    </w:rPr>
                    <w:t>T、I</w:t>
                  </w:r>
                </w:p>
              </w:tc>
              <w:tc>
                <w:tcPr>
                  <w:tcW w:w="828" w:type="pct"/>
                  <w:vAlign w:val="center"/>
                </w:tcPr>
                <w:p w14:paraId="5E335BD7">
                  <w:pPr>
                    <w:widowControl/>
                    <w:jc w:val="center"/>
                    <w:rPr>
                      <w:bCs/>
                      <w:snapToGrid w:val="0"/>
                      <w:kern w:val="0"/>
                      <w:szCs w:val="21"/>
                    </w:rPr>
                  </w:pPr>
                  <w:r>
                    <w:rPr>
                      <w:bCs/>
                      <w:snapToGrid w:val="0"/>
                      <w:kern w:val="0"/>
                      <w:szCs w:val="21"/>
                    </w:rPr>
                    <w:t>专用收集桶贮存</w:t>
                  </w:r>
                </w:p>
              </w:tc>
            </w:tr>
            <w:tr w14:paraId="2EC4B5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35" w:type="pct"/>
                  <w:vMerge w:val="continue"/>
                  <w:vAlign w:val="center"/>
                </w:tcPr>
                <w:p w14:paraId="72805F99">
                  <w:pPr>
                    <w:widowControl/>
                    <w:jc w:val="center"/>
                    <w:rPr>
                      <w:bCs/>
                      <w:snapToGrid w:val="0"/>
                      <w:kern w:val="0"/>
                      <w:szCs w:val="21"/>
                    </w:rPr>
                  </w:pPr>
                </w:p>
              </w:tc>
              <w:tc>
                <w:tcPr>
                  <w:tcW w:w="469" w:type="pct"/>
                  <w:vAlign w:val="center"/>
                </w:tcPr>
                <w:p w14:paraId="41E0664B">
                  <w:pPr>
                    <w:widowControl/>
                    <w:jc w:val="center"/>
                    <w:rPr>
                      <w:bCs/>
                      <w:snapToGrid w:val="0"/>
                      <w:kern w:val="0"/>
                      <w:szCs w:val="21"/>
                    </w:rPr>
                  </w:pPr>
                  <w:r>
                    <w:rPr>
                      <w:rFonts w:hint="eastAsia"/>
                      <w:bCs/>
                      <w:snapToGrid w:val="0"/>
                      <w:kern w:val="0"/>
                      <w:szCs w:val="21"/>
                    </w:rPr>
                    <w:t>废油桶</w:t>
                  </w:r>
                </w:p>
              </w:tc>
              <w:tc>
                <w:tcPr>
                  <w:tcW w:w="482" w:type="pct"/>
                  <w:vMerge w:val="continue"/>
                  <w:vAlign w:val="center"/>
                </w:tcPr>
                <w:p w14:paraId="58C132DF">
                  <w:pPr>
                    <w:widowControl/>
                    <w:jc w:val="center"/>
                    <w:rPr>
                      <w:bCs/>
                      <w:kern w:val="0"/>
                      <w:szCs w:val="21"/>
                    </w:rPr>
                  </w:pPr>
                </w:p>
              </w:tc>
              <w:tc>
                <w:tcPr>
                  <w:tcW w:w="801" w:type="pct"/>
                  <w:vMerge w:val="continue"/>
                  <w:vAlign w:val="center"/>
                </w:tcPr>
                <w:p w14:paraId="06C976DF">
                  <w:pPr>
                    <w:widowControl/>
                    <w:jc w:val="center"/>
                    <w:rPr>
                      <w:bCs/>
                      <w:kern w:val="24"/>
                      <w:szCs w:val="21"/>
                    </w:rPr>
                  </w:pPr>
                </w:p>
              </w:tc>
              <w:tc>
                <w:tcPr>
                  <w:tcW w:w="525" w:type="pct"/>
                  <w:vMerge w:val="continue"/>
                  <w:vAlign w:val="center"/>
                </w:tcPr>
                <w:p w14:paraId="79E20507">
                  <w:pPr>
                    <w:widowControl/>
                    <w:jc w:val="center"/>
                    <w:rPr>
                      <w:bCs/>
                      <w:snapToGrid w:val="0"/>
                      <w:kern w:val="0"/>
                      <w:szCs w:val="21"/>
                    </w:rPr>
                  </w:pPr>
                </w:p>
              </w:tc>
              <w:tc>
                <w:tcPr>
                  <w:tcW w:w="593" w:type="pct"/>
                  <w:vMerge w:val="continue"/>
                  <w:vAlign w:val="center"/>
                </w:tcPr>
                <w:p w14:paraId="6EE7CA56">
                  <w:pPr>
                    <w:widowControl/>
                    <w:jc w:val="center"/>
                    <w:rPr>
                      <w:bCs/>
                      <w:snapToGrid w:val="0"/>
                      <w:kern w:val="0"/>
                      <w:szCs w:val="21"/>
                    </w:rPr>
                  </w:pPr>
                </w:p>
              </w:tc>
              <w:tc>
                <w:tcPr>
                  <w:tcW w:w="441" w:type="pct"/>
                  <w:vAlign w:val="center"/>
                </w:tcPr>
                <w:p w14:paraId="4D4A3B8E">
                  <w:pPr>
                    <w:widowControl/>
                    <w:jc w:val="center"/>
                    <w:rPr>
                      <w:bCs/>
                      <w:snapToGrid w:val="0"/>
                      <w:kern w:val="0"/>
                      <w:szCs w:val="21"/>
                    </w:rPr>
                  </w:pPr>
                  <w:r>
                    <w:rPr>
                      <w:rFonts w:hint="eastAsia"/>
                      <w:bCs/>
                      <w:snapToGrid w:val="0"/>
                      <w:kern w:val="0"/>
                      <w:szCs w:val="21"/>
                    </w:rPr>
                    <w:t>固体</w:t>
                  </w:r>
                </w:p>
              </w:tc>
              <w:tc>
                <w:tcPr>
                  <w:tcW w:w="528" w:type="pct"/>
                  <w:vMerge w:val="continue"/>
                  <w:vAlign w:val="center"/>
                </w:tcPr>
                <w:p w14:paraId="33DB893C">
                  <w:pPr>
                    <w:widowControl/>
                    <w:jc w:val="center"/>
                    <w:rPr>
                      <w:bCs/>
                      <w:snapToGrid w:val="0"/>
                      <w:kern w:val="0"/>
                      <w:szCs w:val="21"/>
                    </w:rPr>
                  </w:pPr>
                </w:p>
              </w:tc>
              <w:tc>
                <w:tcPr>
                  <w:tcW w:w="828" w:type="pct"/>
                  <w:vAlign w:val="center"/>
                </w:tcPr>
                <w:p w14:paraId="082C83B0">
                  <w:pPr>
                    <w:widowControl/>
                    <w:jc w:val="center"/>
                    <w:rPr>
                      <w:bCs/>
                      <w:snapToGrid w:val="0"/>
                      <w:kern w:val="0"/>
                      <w:szCs w:val="21"/>
                    </w:rPr>
                  </w:pPr>
                  <w:r>
                    <w:rPr>
                      <w:bCs/>
                      <w:snapToGrid w:val="0"/>
                      <w:kern w:val="0"/>
                      <w:szCs w:val="21"/>
                    </w:rPr>
                    <w:t>专业容器贮存</w:t>
                  </w:r>
                </w:p>
              </w:tc>
            </w:tr>
            <w:tr w14:paraId="42E359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35" w:type="pct"/>
                  <w:vAlign w:val="center"/>
                </w:tcPr>
                <w:p w14:paraId="4B852243">
                  <w:pPr>
                    <w:widowControl/>
                    <w:jc w:val="center"/>
                    <w:rPr>
                      <w:bCs/>
                      <w:snapToGrid w:val="0"/>
                      <w:kern w:val="0"/>
                      <w:szCs w:val="21"/>
                    </w:rPr>
                  </w:pPr>
                  <w:r>
                    <w:rPr>
                      <w:bCs/>
                      <w:snapToGrid w:val="0"/>
                      <w:kern w:val="0"/>
                      <w:szCs w:val="21"/>
                    </w:rPr>
                    <w:t>2</w:t>
                  </w:r>
                </w:p>
              </w:tc>
              <w:tc>
                <w:tcPr>
                  <w:tcW w:w="469" w:type="pct"/>
                  <w:vAlign w:val="center"/>
                </w:tcPr>
                <w:p w14:paraId="4D804F43">
                  <w:pPr>
                    <w:widowControl/>
                    <w:jc w:val="center"/>
                    <w:rPr>
                      <w:bCs/>
                      <w:snapToGrid w:val="0"/>
                      <w:kern w:val="0"/>
                      <w:szCs w:val="21"/>
                    </w:rPr>
                  </w:pPr>
                  <w:r>
                    <w:rPr>
                      <w:bCs/>
                      <w:snapToGrid w:val="0"/>
                      <w:kern w:val="0"/>
                      <w:szCs w:val="21"/>
                    </w:rPr>
                    <w:t>废</w:t>
                  </w:r>
                  <w:r>
                    <w:rPr>
                      <w:rFonts w:hint="eastAsia"/>
                      <w:bCs/>
                      <w:snapToGrid w:val="0"/>
                      <w:kern w:val="0"/>
                      <w:szCs w:val="21"/>
                    </w:rPr>
                    <w:t>润滑油</w:t>
                  </w:r>
                </w:p>
              </w:tc>
              <w:tc>
                <w:tcPr>
                  <w:tcW w:w="482" w:type="pct"/>
                  <w:vMerge w:val="continue"/>
                  <w:vAlign w:val="center"/>
                </w:tcPr>
                <w:p w14:paraId="4E6D9EE5">
                  <w:pPr>
                    <w:widowControl/>
                    <w:jc w:val="center"/>
                    <w:rPr>
                      <w:bCs/>
                      <w:snapToGrid w:val="0"/>
                      <w:kern w:val="0"/>
                      <w:szCs w:val="21"/>
                    </w:rPr>
                  </w:pPr>
                </w:p>
              </w:tc>
              <w:tc>
                <w:tcPr>
                  <w:tcW w:w="801" w:type="pct"/>
                  <w:vAlign w:val="center"/>
                </w:tcPr>
                <w:p w14:paraId="5E75A410">
                  <w:pPr>
                    <w:widowControl/>
                    <w:jc w:val="center"/>
                    <w:rPr>
                      <w:bCs/>
                      <w:snapToGrid w:val="0"/>
                      <w:kern w:val="0"/>
                      <w:szCs w:val="21"/>
                    </w:rPr>
                  </w:pPr>
                  <w:r>
                    <w:rPr>
                      <w:bCs/>
                      <w:kern w:val="24"/>
                      <w:szCs w:val="21"/>
                    </w:rPr>
                    <w:t>900-214-08</w:t>
                  </w:r>
                </w:p>
              </w:tc>
              <w:tc>
                <w:tcPr>
                  <w:tcW w:w="525" w:type="pct"/>
                  <w:vAlign w:val="center"/>
                </w:tcPr>
                <w:p w14:paraId="6223D0BA">
                  <w:pPr>
                    <w:widowControl/>
                    <w:jc w:val="center"/>
                    <w:rPr>
                      <w:bCs/>
                      <w:snapToGrid w:val="0"/>
                      <w:kern w:val="0"/>
                      <w:szCs w:val="21"/>
                    </w:rPr>
                  </w:pPr>
                  <w:r>
                    <w:rPr>
                      <w:rFonts w:hint="eastAsia"/>
                      <w:bCs/>
                      <w:snapToGrid w:val="0"/>
                      <w:kern w:val="0"/>
                      <w:szCs w:val="21"/>
                    </w:rPr>
                    <w:t>0</w:t>
                  </w:r>
                  <w:r>
                    <w:rPr>
                      <w:bCs/>
                      <w:snapToGrid w:val="0"/>
                      <w:kern w:val="0"/>
                      <w:szCs w:val="21"/>
                    </w:rPr>
                    <w:t>.01</w:t>
                  </w:r>
                </w:p>
              </w:tc>
              <w:tc>
                <w:tcPr>
                  <w:tcW w:w="593" w:type="pct"/>
                  <w:vMerge w:val="continue"/>
                  <w:vAlign w:val="center"/>
                </w:tcPr>
                <w:p w14:paraId="130B6463">
                  <w:pPr>
                    <w:widowControl/>
                    <w:jc w:val="center"/>
                    <w:rPr>
                      <w:bCs/>
                      <w:snapToGrid w:val="0"/>
                      <w:kern w:val="0"/>
                      <w:szCs w:val="21"/>
                    </w:rPr>
                  </w:pPr>
                </w:p>
              </w:tc>
              <w:tc>
                <w:tcPr>
                  <w:tcW w:w="441" w:type="pct"/>
                  <w:vAlign w:val="center"/>
                </w:tcPr>
                <w:p w14:paraId="3716E443">
                  <w:pPr>
                    <w:widowControl/>
                    <w:jc w:val="center"/>
                    <w:rPr>
                      <w:bCs/>
                      <w:snapToGrid w:val="0"/>
                      <w:kern w:val="0"/>
                      <w:szCs w:val="21"/>
                    </w:rPr>
                  </w:pPr>
                  <w:r>
                    <w:rPr>
                      <w:bCs/>
                      <w:snapToGrid w:val="0"/>
                      <w:kern w:val="0"/>
                      <w:szCs w:val="21"/>
                    </w:rPr>
                    <w:t>液态</w:t>
                  </w:r>
                </w:p>
              </w:tc>
              <w:tc>
                <w:tcPr>
                  <w:tcW w:w="528" w:type="pct"/>
                  <w:vAlign w:val="center"/>
                </w:tcPr>
                <w:p w14:paraId="043F9DF5">
                  <w:pPr>
                    <w:widowControl/>
                    <w:jc w:val="center"/>
                    <w:rPr>
                      <w:bCs/>
                      <w:snapToGrid w:val="0"/>
                      <w:kern w:val="0"/>
                      <w:szCs w:val="21"/>
                    </w:rPr>
                  </w:pPr>
                  <w:r>
                    <w:rPr>
                      <w:bCs/>
                      <w:snapToGrid w:val="0"/>
                      <w:kern w:val="0"/>
                      <w:szCs w:val="21"/>
                    </w:rPr>
                    <w:t>T、I</w:t>
                  </w:r>
                </w:p>
              </w:tc>
              <w:tc>
                <w:tcPr>
                  <w:tcW w:w="828" w:type="pct"/>
                  <w:vAlign w:val="center"/>
                </w:tcPr>
                <w:p w14:paraId="179B7BA6">
                  <w:pPr>
                    <w:widowControl/>
                    <w:jc w:val="center"/>
                    <w:rPr>
                      <w:bCs/>
                      <w:snapToGrid w:val="0"/>
                      <w:kern w:val="0"/>
                      <w:szCs w:val="21"/>
                    </w:rPr>
                  </w:pPr>
                  <w:r>
                    <w:rPr>
                      <w:bCs/>
                      <w:snapToGrid w:val="0"/>
                      <w:kern w:val="0"/>
                      <w:szCs w:val="21"/>
                    </w:rPr>
                    <w:t>专用收集桶贮存</w:t>
                  </w:r>
                </w:p>
              </w:tc>
            </w:tr>
            <w:tr w14:paraId="6230EE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35" w:type="pct"/>
                  <w:vAlign w:val="center"/>
                </w:tcPr>
                <w:p w14:paraId="26E41D88">
                  <w:pPr>
                    <w:widowControl/>
                    <w:jc w:val="center"/>
                    <w:rPr>
                      <w:bCs/>
                      <w:snapToGrid w:val="0"/>
                      <w:kern w:val="0"/>
                      <w:szCs w:val="21"/>
                    </w:rPr>
                  </w:pPr>
                  <w:r>
                    <w:rPr>
                      <w:bCs/>
                      <w:snapToGrid w:val="0"/>
                      <w:kern w:val="0"/>
                      <w:szCs w:val="21"/>
                    </w:rPr>
                    <w:t>3</w:t>
                  </w:r>
                </w:p>
              </w:tc>
              <w:tc>
                <w:tcPr>
                  <w:tcW w:w="469" w:type="pct"/>
                  <w:vAlign w:val="center"/>
                </w:tcPr>
                <w:p w14:paraId="184DBB1B">
                  <w:pPr>
                    <w:widowControl/>
                    <w:jc w:val="center"/>
                    <w:rPr>
                      <w:bCs/>
                      <w:snapToGrid w:val="0"/>
                      <w:kern w:val="0"/>
                      <w:szCs w:val="21"/>
                    </w:rPr>
                  </w:pPr>
                  <w:r>
                    <w:rPr>
                      <w:bCs/>
                      <w:snapToGrid w:val="0"/>
                      <w:kern w:val="0"/>
                      <w:szCs w:val="21"/>
                    </w:rPr>
                    <w:t>废</w:t>
                  </w:r>
                  <w:r>
                    <w:rPr>
                      <w:rFonts w:hint="eastAsia"/>
                      <w:bCs/>
                      <w:snapToGrid w:val="0"/>
                      <w:kern w:val="0"/>
                      <w:szCs w:val="21"/>
                    </w:rPr>
                    <w:t>含油手套、棉纱</w:t>
                  </w:r>
                </w:p>
              </w:tc>
              <w:tc>
                <w:tcPr>
                  <w:tcW w:w="482" w:type="pct"/>
                  <w:vAlign w:val="center"/>
                </w:tcPr>
                <w:p w14:paraId="790FC655">
                  <w:pPr>
                    <w:widowControl/>
                    <w:jc w:val="center"/>
                    <w:rPr>
                      <w:bCs/>
                      <w:kern w:val="0"/>
                      <w:szCs w:val="21"/>
                    </w:rPr>
                  </w:pPr>
                  <w:r>
                    <w:rPr>
                      <w:bCs/>
                      <w:kern w:val="0"/>
                      <w:szCs w:val="21"/>
                    </w:rPr>
                    <w:t>HW49</w:t>
                  </w:r>
                </w:p>
              </w:tc>
              <w:tc>
                <w:tcPr>
                  <w:tcW w:w="801" w:type="pct"/>
                  <w:vAlign w:val="center"/>
                </w:tcPr>
                <w:p w14:paraId="6D38AEAD">
                  <w:pPr>
                    <w:widowControl/>
                    <w:jc w:val="center"/>
                    <w:rPr>
                      <w:bCs/>
                      <w:kern w:val="24"/>
                      <w:szCs w:val="21"/>
                    </w:rPr>
                  </w:pPr>
                  <w:r>
                    <w:rPr>
                      <w:bCs/>
                      <w:kern w:val="0"/>
                      <w:szCs w:val="21"/>
                    </w:rPr>
                    <w:t>900-041-49</w:t>
                  </w:r>
                </w:p>
              </w:tc>
              <w:tc>
                <w:tcPr>
                  <w:tcW w:w="525" w:type="pct"/>
                  <w:vAlign w:val="center"/>
                </w:tcPr>
                <w:p w14:paraId="3292102B">
                  <w:pPr>
                    <w:widowControl/>
                    <w:jc w:val="center"/>
                    <w:rPr>
                      <w:bCs/>
                      <w:snapToGrid w:val="0"/>
                      <w:kern w:val="0"/>
                      <w:szCs w:val="21"/>
                    </w:rPr>
                  </w:pPr>
                  <w:r>
                    <w:rPr>
                      <w:bCs/>
                      <w:snapToGrid w:val="0"/>
                      <w:kern w:val="0"/>
                      <w:szCs w:val="21"/>
                    </w:rPr>
                    <w:t>0.05</w:t>
                  </w:r>
                </w:p>
              </w:tc>
              <w:tc>
                <w:tcPr>
                  <w:tcW w:w="593" w:type="pct"/>
                  <w:vMerge w:val="continue"/>
                  <w:vAlign w:val="center"/>
                </w:tcPr>
                <w:p w14:paraId="28831C10">
                  <w:pPr>
                    <w:widowControl/>
                    <w:jc w:val="center"/>
                    <w:rPr>
                      <w:bCs/>
                      <w:snapToGrid w:val="0"/>
                      <w:kern w:val="0"/>
                      <w:szCs w:val="21"/>
                    </w:rPr>
                  </w:pPr>
                </w:p>
              </w:tc>
              <w:tc>
                <w:tcPr>
                  <w:tcW w:w="441" w:type="pct"/>
                  <w:vAlign w:val="center"/>
                </w:tcPr>
                <w:p w14:paraId="48D84E81">
                  <w:pPr>
                    <w:widowControl/>
                    <w:jc w:val="center"/>
                    <w:rPr>
                      <w:bCs/>
                      <w:snapToGrid w:val="0"/>
                      <w:kern w:val="0"/>
                      <w:szCs w:val="21"/>
                    </w:rPr>
                  </w:pPr>
                  <w:r>
                    <w:rPr>
                      <w:bCs/>
                      <w:snapToGrid w:val="0"/>
                      <w:kern w:val="0"/>
                      <w:szCs w:val="21"/>
                    </w:rPr>
                    <w:t>固体</w:t>
                  </w:r>
                </w:p>
              </w:tc>
              <w:tc>
                <w:tcPr>
                  <w:tcW w:w="528" w:type="pct"/>
                  <w:vAlign w:val="center"/>
                </w:tcPr>
                <w:p w14:paraId="2D4889A6">
                  <w:pPr>
                    <w:widowControl/>
                    <w:jc w:val="center"/>
                    <w:rPr>
                      <w:bCs/>
                      <w:snapToGrid w:val="0"/>
                      <w:kern w:val="0"/>
                      <w:szCs w:val="21"/>
                    </w:rPr>
                  </w:pPr>
                  <w:r>
                    <w:rPr>
                      <w:bCs/>
                      <w:snapToGrid w:val="0"/>
                      <w:kern w:val="0"/>
                      <w:szCs w:val="21"/>
                    </w:rPr>
                    <w:t>T、I</w:t>
                  </w:r>
                </w:p>
              </w:tc>
              <w:tc>
                <w:tcPr>
                  <w:tcW w:w="828" w:type="pct"/>
                  <w:vAlign w:val="center"/>
                </w:tcPr>
                <w:p w14:paraId="52D57687">
                  <w:pPr>
                    <w:widowControl/>
                    <w:jc w:val="center"/>
                    <w:rPr>
                      <w:bCs/>
                      <w:snapToGrid w:val="0"/>
                      <w:kern w:val="0"/>
                      <w:szCs w:val="21"/>
                    </w:rPr>
                  </w:pPr>
                  <w:r>
                    <w:rPr>
                      <w:bCs/>
                      <w:snapToGrid w:val="0"/>
                      <w:kern w:val="0"/>
                      <w:szCs w:val="21"/>
                    </w:rPr>
                    <w:t>专业容器贮存</w:t>
                  </w:r>
                </w:p>
              </w:tc>
            </w:tr>
          </w:tbl>
          <w:p w14:paraId="0A4D2080">
            <w:pPr>
              <w:widowControl/>
              <w:spacing w:line="360" w:lineRule="auto"/>
              <w:ind w:firstLine="480" w:firstLineChars="200"/>
              <w:rPr>
                <w:kern w:val="0"/>
                <w:sz w:val="24"/>
              </w:rPr>
            </w:pPr>
            <w:r>
              <w:rPr>
                <w:rFonts w:hint="eastAsia"/>
                <w:kern w:val="0"/>
                <w:sz w:val="24"/>
              </w:rPr>
              <w:t>4. 危险废物贮存场所建设要求</w:t>
            </w:r>
          </w:p>
          <w:p w14:paraId="4BE49801">
            <w:pPr>
              <w:widowControl/>
              <w:spacing w:line="360" w:lineRule="auto"/>
              <w:ind w:firstLine="480" w:firstLineChars="200"/>
              <w:rPr>
                <w:kern w:val="0"/>
                <w:sz w:val="24"/>
              </w:rPr>
            </w:pPr>
            <w:r>
              <w:rPr>
                <w:rFonts w:hint="eastAsia"/>
                <w:kern w:val="0"/>
                <w:sz w:val="24"/>
              </w:rPr>
              <w:t>根据《危险废物贮存污染控制标准》（GB18597-2023），危废贮存库建设满足以下条件：</w:t>
            </w:r>
          </w:p>
          <w:p w14:paraId="1BA83F79">
            <w:pPr>
              <w:widowControl/>
              <w:spacing w:line="360" w:lineRule="auto"/>
              <w:ind w:firstLine="480" w:firstLineChars="200"/>
              <w:rPr>
                <w:kern w:val="0"/>
                <w:sz w:val="24"/>
              </w:rPr>
            </w:pPr>
            <w:r>
              <w:rPr>
                <w:rFonts w:hint="eastAsia"/>
                <w:kern w:val="0"/>
                <w:sz w:val="24"/>
              </w:rPr>
              <w:t>①贮存设施应根据危险废物的形态、物理化学性质、包装形式和污染物迁移途径，采取必要的防风、防晒、防雨、防漏、防渗、防腐以及其他环境污染防治措施，不应露天堆放危险废物。</w:t>
            </w:r>
          </w:p>
          <w:p w14:paraId="2097C805">
            <w:pPr>
              <w:spacing w:line="360" w:lineRule="auto"/>
              <w:ind w:firstLine="480" w:firstLineChars="200"/>
              <w:rPr>
                <w:kern w:val="0"/>
                <w:sz w:val="24"/>
              </w:rPr>
            </w:pPr>
            <w:r>
              <w:rPr>
                <w:rFonts w:hint="eastAsia"/>
                <w:kern w:val="0"/>
                <w:sz w:val="24"/>
              </w:rPr>
              <w:t xml:space="preserve">②贮存设施应根据危险废物的类别、数量、形态、物理化学性质和污染防治等要求设置必要的贮存分区，避免不相容的危险废物接触、混合。 </w:t>
            </w:r>
          </w:p>
          <w:p w14:paraId="79E13118">
            <w:pPr>
              <w:spacing w:line="360" w:lineRule="auto"/>
              <w:ind w:firstLine="480" w:firstLineChars="200"/>
              <w:rPr>
                <w:kern w:val="0"/>
                <w:sz w:val="24"/>
              </w:rPr>
            </w:pPr>
            <w:r>
              <w:rPr>
                <w:rFonts w:hint="eastAsia"/>
                <w:kern w:val="0"/>
                <w:sz w:val="24"/>
              </w:rPr>
              <w:t xml:space="preserve">③贮存设施或贮存分区内地面、墙面裙脚、堵截泄漏的围堰、接触危险废物的隔板和墙体等应采用坚固的材料建造，表面无裂缝。 </w:t>
            </w:r>
          </w:p>
          <w:p w14:paraId="4F255849">
            <w:pPr>
              <w:spacing w:line="360" w:lineRule="auto"/>
              <w:ind w:firstLine="480" w:firstLineChars="200"/>
              <w:rPr>
                <w:kern w:val="0"/>
                <w:sz w:val="24"/>
              </w:rPr>
            </w:pPr>
            <w:r>
              <w:rPr>
                <w:rFonts w:hint="eastAsia"/>
                <w:kern w:val="0"/>
                <w:sz w:val="24"/>
              </w:rPr>
              <w:t xml:space="preserve">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w:t>
            </w:r>
            <w:r>
              <w:rPr>
                <w:kern w:val="0"/>
                <w:sz w:val="24"/>
              </w:rPr>
              <w:t xml:space="preserve">1m </w:t>
            </w:r>
            <w:r>
              <w:rPr>
                <w:rFonts w:hint="eastAsia"/>
                <w:kern w:val="0"/>
                <w:sz w:val="24"/>
              </w:rPr>
              <w:t>厚黏土层（渗透系数不大于</w:t>
            </w:r>
            <w:r>
              <w:rPr>
                <w:kern w:val="0"/>
                <w:sz w:val="24"/>
              </w:rPr>
              <w:t>10</w:t>
            </w:r>
            <w:r>
              <w:rPr>
                <w:kern w:val="0"/>
                <w:sz w:val="24"/>
                <w:vertAlign w:val="superscript"/>
              </w:rPr>
              <w:t>-7</w:t>
            </w:r>
            <w:r>
              <w:rPr>
                <w:kern w:val="0"/>
                <w:sz w:val="24"/>
              </w:rPr>
              <w:t xml:space="preserve"> cm/s</w:t>
            </w:r>
            <w:r>
              <w:rPr>
                <w:rFonts w:hint="eastAsia"/>
                <w:kern w:val="0"/>
                <w:sz w:val="24"/>
              </w:rPr>
              <w:t>），或至少</w:t>
            </w:r>
            <w:r>
              <w:rPr>
                <w:kern w:val="0"/>
                <w:sz w:val="24"/>
              </w:rPr>
              <w:t>2mm</w:t>
            </w:r>
            <w:r>
              <w:rPr>
                <w:rFonts w:hint="eastAsia"/>
                <w:kern w:val="0"/>
                <w:sz w:val="24"/>
              </w:rPr>
              <w:t>厚高密度聚乙烯膜等人工防渗材料（渗透系数不大于</w:t>
            </w:r>
            <w:r>
              <w:rPr>
                <w:kern w:val="0"/>
                <w:sz w:val="24"/>
              </w:rPr>
              <w:t>10</w:t>
            </w:r>
            <w:r>
              <w:rPr>
                <w:kern w:val="0"/>
                <w:sz w:val="24"/>
                <w:vertAlign w:val="superscript"/>
              </w:rPr>
              <w:t>-10</w:t>
            </w:r>
            <w:r>
              <w:rPr>
                <w:kern w:val="0"/>
                <w:sz w:val="24"/>
              </w:rPr>
              <w:t>cm/s</w:t>
            </w:r>
            <w:r>
              <w:rPr>
                <w:rFonts w:hint="eastAsia"/>
                <w:kern w:val="0"/>
                <w:sz w:val="24"/>
              </w:rPr>
              <w:t>），或其他防渗性能等效的材料。</w:t>
            </w:r>
          </w:p>
          <w:p w14:paraId="66B8B804">
            <w:pPr>
              <w:spacing w:line="360" w:lineRule="auto"/>
              <w:ind w:firstLine="480" w:firstLineChars="200"/>
              <w:rPr>
                <w:kern w:val="0"/>
                <w:sz w:val="24"/>
              </w:rPr>
            </w:pPr>
            <w:r>
              <w:rPr>
                <w:rFonts w:hint="eastAsia"/>
                <w:kern w:val="0"/>
                <w:sz w:val="24"/>
              </w:rPr>
              <w:t xml:space="preserve">⑤同一贮存设施宜采用相同的防渗、防腐工艺（包括防渗、防腐结构或材料），防渗、防腐材料应覆盖所有可能与废物及其渗滤液、渗漏液等接触的构筑物表面；采用不同防渗、防腐工艺应分别建设贮存分区。 </w:t>
            </w:r>
          </w:p>
          <w:p w14:paraId="577866F1">
            <w:pPr>
              <w:spacing w:line="360" w:lineRule="auto"/>
              <w:ind w:firstLine="480" w:firstLineChars="200"/>
              <w:rPr>
                <w:kern w:val="0"/>
                <w:sz w:val="24"/>
              </w:rPr>
            </w:pPr>
            <w:r>
              <w:rPr>
                <w:rFonts w:hint="eastAsia"/>
                <w:kern w:val="0"/>
                <w:sz w:val="24"/>
              </w:rPr>
              <w:t>⑥贮存库内不同贮存分区之间应采取隔离措施。隔离措施可根据危险废物特性采用过道、隔板或隔墙等方式。</w:t>
            </w:r>
          </w:p>
          <w:p w14:paraId="4111FE32">
            <w:pPr>
              <w:spacing w:line="360" w:lineRule="auto"/>
              <w:ind w:firstLine="480" w:firstLineChars="200"/>
              <w:rPr>
                <w:kern w:val="0"/>
                <w:sz w:val="24"/>
              </w:rPr>
            </w:pPr>
            <w:r>
              <w:rPr>
                <w:rFonts w:hint="eastAsia"/>
                <w:kern w:val="0"/>
                <w:sz w:val="24"/>
              </w:rPr>
              <w:t>⑦在贮存库内或通过贮存分区方式贮存液态危险废物的，应具有液体泄漏堵截设施，堵截设施最小容积不应低于对应贮存区域最大液态废物容器容积或液态废物总储量</w:t>
            </w:r>
            <w:r>
              <w:rPr>
                <w:kern w:val="0"/>
                <w:sz w:val="24"/>
              </w:rPr>
              <w:t>1/10</w:t>
            </w:r>
            <w:r>
              <w:rPr>
                <w:rFonts w:hint="eastAsia"/>
                <w:kern w:val="0"/>
                <w:sz w:val="24"/>
              </w:rPr>
              <w:t>（二者取较大者）；用于贮存可能产生渗滤液的危险废物的贮存库或贮存分区应设计渗滤液收集设施，收集设施容积应满足渗滤液的收集要求。</w:t>
            </w:r>
          </w:p>
          <w:p w14:paraId="6A51AB6A">
            <w:pPr>
              <w:spacing w:line="360" w:lineRule="auto"/>
              <w:ind w:firstLine="480" w:firstLineChars="200"/>
              <w:rPr>
                <w:kern w:val="0"/>
                <w:sz w:val="24"/>
              </w:rPr>
            </w:pPr>
            <w:r>
              <w:rPr>
                <w:rFonts w:hint="eastAsia"/>
                <w:kern w:val="0"/>
                <w:sz w:val="24"/>
              </w:rPr>
              <w:t xml:space="preserve">⑧贮存罐区罐体应设置在围堰内，围堰的防渗、防腐性能应满足 </w:t>
            </w:r>
            <w:r>
              <w:rPr>
                <w:kern w:val="0"/>
                <w:sz w:val="24"/>
              </w:rPr>
              <w:t>6.1.4</w:t>
            </w:r>
            <w:r>
              <w:rPr>
                <w:rFonts w:hint="eastAsia"/>
                <w:kern w:val="0"/>
                <w:sz w:val="24"/>
              </w:rPr>
              <w:t>、</w:t>
            </w:r>
            <w:r>
              <w:rPr>
                <w:kern w:val="0"/>
                <w:sz w:val="24"/>
              </w:rPr>
              <w:t xml:space="preserve">6.1.5 </w:t>
            </w:r>
            <w:r>
              <w:rPr>
                <w:rFonts w:hint="eastAsia"/>
                <w:kern w:val="0"/>
                <w:sz w:val="24"/>
              </w:rPr>
              <w:t>的要求。</w:t>
            </w:r>
          </w:p>
          <w:p w14:paraId="5A29E6E2">
            <w:pPr>
              <w:spacing w:line="360" w:lineRule="auto"/>
              <w:ind w:firstLine="480" w:firstLineChars="200"/>
              <w:rPr>
                <w:kern w:val="0"/>
                <w:sz w:val="24"/>
              </w:rPr>
            </w:pPr>
            <w:r>
              <w:rPr>
                <w:rFonts w:hint="eastAsia"/>
                <w:kern w:val="0"/>
                <w:sz w:val="24"/>
              </w:rPr>
              <w:t>根据危险废物识别标志设置技术规范（</w:t>
            </w:r>
            <w:r>
              <w:rPr>
                <w:kern w:val="0"/>
                <w:sz w:val="24"/>
              </w:rPr>
              <w:t>HJ1276-2022</w:t>
            </w:r>
            <w:r>
              <w:rPr>
                <w:rFonts w:hint="eastAsia"/>
                <w:kern w:val="0"/>
                <w:sz w:val="24"/>
              </w:rPr>
              <w:t>），危险废物标签的设置要求如下：</w:t>
            </w:r>
          </w:p>
          <w:p w14:paraId="148B6317">
            <w:pPr>
              <w:spacing w:line="360" w:lineRule="auto"/>
              <w:ind w:firstLine="480" w:firstLineChars="200"/>
              <w:rPr>
                <w:kern w:val="0"/>
                <w:sz w:val="24"/>
              </w:rPr>
            </w:pPr>
            <w:r>
              <w:rPr>
                <w:rFonts w:hint="eastAsia"/>
                <w:kern w:val="0"/>
                <w:sz w:val="24"/>
              </w:rPr>
              <w:t>①危险废物产生单位或收集单位在盛装危险废物时，宜根据容器或包装物的容积按照本标准第</w:t>
            </w:r>
            <w:r>
              <w:rPr>
                <w:kern w:val="0"/>
                <w:sz w:val="24"/>
              </w:rPr>
              <w:t>9.1</w:t>
            </w:r>
            <w:r>
              <w:rPr>
                <w:rFonts w:hint="eastAsia"/>
                <w:kern w:val="0"/>
                <w:sz w:val="24"/>
              </w:rPr>
              <w:t>条中的要求设置合适的标签，并按本标准第</w:t>
            </w:r>
            <w:r>
              <w:rPr>
                <w:kern w:val="0"/>
                <w:sz w:val="24"/>
              </w:rPr>
              <w:t xml:space="preserve">5.2 </w:t>
            </w:r>
            <w:r>
              <w:rPr>
                <w:rFonts w:hint="eastAsia"/>
                <w:kern w:val="0"/>
                <w:sz w:val="24"/>
              </w:rPr>
              <w:t>条中的要求填写完整。</w:t>
            </w:r>
          </w:p>
          <w:p w14:paraId="42652DEA">
            <w:pPr>
              <w:spacing w:line="360" w:lineRule="auto"/>
              <w:ind w:firstLine="480" w:firstLineChars="200"/>
              <w:rPr>
                <w:kern w:val="0"/>
                <w:sz w:val="24"/>
              </w:rPr>
            </w:pPr>
            <w:r>
              <w:rPr>
                <w:rFonts w:hint="eastAsia"/>
                <w:kern w:val="0"/>
                <w:sz w:val="24"/>
              </w:rPr>
              <w:t xml:space="preserve">②危险废物标签中的二维码部分，可与标签一同制作，也可以单独制作后固定于危险废物标签相应位置。 </w:t>
            </w:r>
          </w:p>
          <w:p w14:paraId="3E9F4B91">
            <w:pPr>
              <w:spacing w:line="360" w:lineRule="auto"/>
              <w:ind w:firstLine="480" w:firstLineChars="200"/>
              <w:rPr>
                <w:bCs/>
                <w:sz w:val="24"/>
              </w:rPr>
            </w:pPr>
            <w:r>
              <w:rPr>
                <w:rFonts w:hint="eastAsia"/>
                <w:kern w:val="0"/>
                <w:sz w:val="24"/>
              </w:rPr>
              <w:t>③危险废物标签设置位置应明显可见且易读，不应被容器、包装物自身的任何部分或其他标签遮挡。危险废物标签在各种包装上的粘贴位置分别为：</w:t>
            </w:r>
          </w:p>
          <w:p w14:paraId="0022C030">
            <w:pPr>
              <w:spacing w:line="360" w:lineRule="auto"/>
              <w:ind w:firstLine="480" w:firstLineChars="200"/>
              <w:rPr>
                <w:bCs/>
                <w:sz w:val="24"/>
              </w:rPr>
            </w:pPr>
            <w:r>
              <w:rPr>
                <w:bCs/>
                <w:sz w:val="24"/>
              </w:rPr>
              <w:t>a</w:t>
            </w:r>
            <w:r>
              <w:rPr>
                <w:rFonts w:hint="eastAsia"/>
                <w:bCs/>
                <w:sz w:val="24"/>
              </w:rPr>
              <w:t>）箱类包装：位于包装端面或侧面；</w:t>
            </w:r>
          </w:p>
          <w:p w14:paraId="5033A1FE">
            <w:pPr>
              <w:spacing w:line="360" w:lineRule="auto"/>
              <w:ind w:firstLine="480" w:firstLineChars="200"/>
              <w:rPr>
                <w:bCs/>
                <w:sz w:val="24"/>
              </w:rPr>
            </w:pPr>
            <w:r>
              <w:rPr>
                <w:bCs/>
                <w:sz w:val="24"/>
              </w:rPr>
              <w:t>b</w:t>
            </w:r>
            <w:r>
              <w:rPr>
                <w:rFonts w:hint="eastAsia"/>
                <w:bCs/>
                <w:sz w:val="24"/>
              </w:rPr>
              <w:t>）袋类包装：位于包装明显处；</w:t>
            </w:r>
          </w:p>
          <w:p w14:paraId="67DA5BB9">
            <w:pPr>
              <w:spacing w:line="360" w:lineRule="auto"/>
              <w:ind w:firstLine="480" w:firstLineChars="200"/>
              <w:rPr>
                <w:bCs/>
                <w:sz w:val="24"/>
              </w:rPr>
            </w:pPr>
            <w:r>
              <w:rPr>
                <w:bCs/>
                <w:sz w:val="24"/>
              </w:rPr>
              <w:t>c</w:t>
            </w:r>
            <w:r>
              <w:rPr>
                <w:rFonts w:hint="eastAsia"/>
                <w:bCs/>
                <w:sz w:val="24"/>
              </w:rPr>
              <w:t>）桶类包装：位于桶身或桶盖；</w:t>
            </w:r>
          </w:p>
          <w:p w14:paraId="3EFDB740">
            <w:pPr>
              <w:spacing w:line="360" w:lineRule="auto"/>
              <w:ind w:firstLine="480" w:firstLineChars="200"/>
              <w:rPr>
                <w:bCs/>
                <w:sz w:val="24"/>
              </w:rPr>
            </w:pPr>
            <w:r>
              <w:rPr>
                <w:bCs/>
                <w:sz w:val="24"/>
              </w:rPr>
              <w:t>d</w:t>
            </w:r>
            <w:r>
              <w:rPr>
                <w:rFonts w:hint="eastAsia"/>
                <w:bCs/>
                <w:sz w:val="24"/>
              </w:rPr>
              <w:t>）其他包装：位于明显处。</w:t>
            </w:r>
          </w:p>
          <w:p w14:paraId="266BF36F">
            <w:pPr>
              <w:spacing w:line="360" w:lineRule="auto"/>
              <w:ind w:firstLine="480" w:firstLineChars="200"/>
              <w:rPr>
                <w:bCs/>
                <w:sz w:val="24"/>
              </w:rPr>
            </w:pPr>
            <w:r>
              <w:rPr>
                <w:rFonts w:hint="eastAsia"/>
                <w:bCs/>
                <w:sz w:val="24"/>
              </w:rPr>
              <w:t>④对于盛装同一类危险废物的组合包装容器，应在组合包装容器的外表面设置危险废物标签。</w:t>
            </w:r>
          </w:p>
          <w:p w14:paraId="1666B35B">
            <w:pPr>
              <w:spacing w:line="360" w:lineRule="auto"/>
              <w:ind w:firstLine="480" w:firstLineChars="200"/>
              <w:rPr>
                <w:bCs/>
                <w:sz w:val="24"/>
              </w:rPr>
            </w:pPr>
            <w:r>
              <w:rPr>
                <w:rFonts w:hint="eastAsia"/>
                <w:bCs/>
                <w:sz w:val="24"/>
              </w:rPr>
              <w:t>⑤容积超过</w:t>
            </w:r>
            <w:r>
              <w:rPr>
                <w:bCs/>
                <w:sz w:val="24"/>
              </w:rPr>
              <w:t>450L</w:t>
            </w:r>
            <w:r>
              <w:rPr>
                <w:rFonts w:hint="eastAsia"/>
                <w:bCs/>
                <w:sz w:val="24"/>
              </w:rPr>
              <w:t>的容器或包装物，应在相对的两面都设置危险废物标签。</w:t>
            </w:r>
          </w:p>
          <w:p w14:paraId="7CFB6F37">
            <w:pPr>
              <w:spacing w:line="360" w:lineRule="auto"/>
              <w:ind w:firstLine="480" w:firstLineChars="200"/>
              <w:rPr>
                <w:bCs/>
                <w:sz w:val="24"/>
              </w:rPr>
            </w:pPr>
            <w:r>
              <w:rPr>
                <w:rFonts w:hint="eastAsia"/>
                <w:bCs/>
                <w:sz w:val="24"/>
              </w:rPr>
              <w:t xml:space="preserve">⑥危险废物标签的固定可采用印刷、粘贴、栓挂、钉附等方式，标签的固定应保证在贮存、转移期间不易脱落和损坏。 </w:t>
            </w:r>
          </w:p>
          <w:p w14:paraId="54E683EB">
            <w:pPr>
              <w:spacing w:line="360" w:lineRule="auto"/>
              <w:ind w:firstLine="480" w:firstLineChars="200"/>
              <w:rPr>
                <w:bCs/>
                <w:sz w:val="24"/>
              </w:rPr>
            </w:pPr>
            <w:r>
              <w:rPr>
                <w:rFonts w:hint="eastAsia"/>
                <w:bCs/>
                <w:sz w:val="24"/>
              </w:rPr>
              <w:t xml:space="preserve">⑦当危险废物容器或包装物还需同时设置危险货物运输相关标志时，危险废物标签可与其分开设置在不同的面上，也可设在相邻的位置。 </w:t>
            </w:r>
          </w:p>
          <w:p w14:paraId="2A5FC0CA">
            <w:pPr>
              <w:spacing w:line="360" w:lineRule="auto"/>
              <w:ind w:firstLine="480" w:firstLineChars="200"/>
              <w:rPr>
                <w:bCs/>
                <w:sz w:val="24"/>
              </w:rPr>
            </w:pPr>
            <w:r>
              <w:rPr>
                <w:rFonts w:hint="eastAsia"/>
                <w:bCs/>
                <w:sz w:val="24"/>
              </w:rPr>
              <w:t>⑧在贮存池的或贮存设施内堆存的无包装或无容器的危险废物，宜在其附近参照危险废物标签的格式和内容设置柱式标志牌。</w:t>
            </w:r>
          </w:p>
          <w:p w14:paraId="3673C6DF">
            <w:pPr>
              <w:spacing w:line="360" w:lineRule="auto"/>
              <w:ind w:firstLine="480" w:firstLineChars="200"/>
              <w:rPr>
                <w:bCs/>
                <w:sz w:val="24"/>
              </w:rPr>
            </w:pPr>
            <w:r>
              <w:rPr>
                <w:rFonts w:hint="eastAsia"/>
                <w:bCs/>
                <w:sz w:val="24"/>
              </w:rPr>
              <w:t>危险废物贮存、利用、处置设施标志可采用横版或竖版的形式，标志制作宜符合图</w:t>
            </w:r>
            <w:r>
              <w:rPr>
                <w:bCs/>
                <w:sz w:val="24"/>
              </w:rPr>
              <w:t>4-2</w:t>
            </w:r>
            <w:r>
              <w:rPr>
                <w:rFonts w:hint="eastAsia"/>
                <w:bCs/>
                <w:sz w:val="24"/>
              </w:rPr>
              <w:t>和图</w:t>
            </w:r>
            <w:r>
              <w:rPr>
                <w:bCs/>
                <w:sz w:val="24"/>
              </w:rPr>
              <w:t>4-3</w:t>
            </w:r>
            <w:r>
              <w:rPr>
                <w:rFonts w:hint="eastAsia"/>
                <w:bCs/>
                <w:sz w:val="24"/>
              </w:rPr>
              <w:t>所示的样式。</w:t>
            </w:r>
          </w:p>
          <w:p w14:paraId="317995E0">
            <w:pPr>
              <w:spacing w:line="360" w:lineRule="auto"/>
              <w:ind w:firstLine="480" w:firstLineChars="200"/>
              <w:rPr>
                <w:bCs/>
                <w:sz w:val="24"/>
              </w:rPr>
            </w:pPr>
          </w:p>
          <w:p w14:paraId="217997A0">
            <w:pPr>
              <w:spacing w:line="360" w:lineRule="auto"/>
              <w:ind w:firstLine="480" w:firstLineChars="200"/>
              <w:rPr>
                <w:bCs/>
                <w:sz w:val="24"/>
              </w:rPr>
            </w:pPr>
          </w:p>
          <w:p w14:paraId="22086BBC">
            <w:pPr>
              <w:spacing w:line="360" w:lineRule="auto"/>
              <w:ind w:firstLine="480" w:firstLineChars="200"/>
              <w:rPr>
                <w:bCs/>
                <w:sz w:val="24"/>
              </w:rPr>
            </w:pPr>
          </w:p>
          <w:p w14:paraId="12A1296A">
            <w:pPr>
              <w:jc w:val="center"/>
              <w:rPr>
                <w:bCs/>
                <w:sz w:val="24"/>
              </w:rPr>
            </w:pPr>
            <w:r>
              <w:rPr>
                <w:bCs/>
                <w:sz w:val="24"/>
              </w:rPr>
              <w:drawing>
                <wp:inline distT="0" distB="0" distL="0" distR="0">
                  <wp:extent cx="2190750" cy="1396365"/>
                  <wp:effectExtent l="0" t="0" r="0" b="0"/>
                  <wp:docPr id="3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99630" cy="1402264"/>
                          </a:xfrm>
                          <a:prstGeom prst="rect">
                            <a:avLst/>
                          </a:prstGeom>
                          <a:noFill/>
                          <a:ln>
                            <a:noFill/>
                          </a:ln>
                        </pic:spPr>
                      </pic:pic>
                    </a:graphicData>
                  </a:graphic>
                </wp:inline>
              </w:drawing>
            </w:r>
          </w:p>
          <w:p w14:paraId="4BBE7729">
            <w:pPr>
              <w:spacing w:line="360" w:lineRule="auto"/>
              <w:jc w:val="center"/>
              <w:rPr>
                <w:b/>
                <w:szCs w:val="21"/>
              </w:rPr>
            </w:pPr>
            <w:r>
              <w:rPr>
                <w:rFonts w:hint="eastAsia"/>
                <w:b/>
                <w:szCs w:val="21"/>
              </w:rPr>
              <w:t>图4</w:t>
            </w:r>
            <w:r>
              <w:rPr>
                <w:b/>
                <w:szCs w:val="21"/>
              </w:rPr>
              <w:t xml:space="preserve">-2  </w:t>
            </w:r>
            <w:r>
              <w:rPr>
                <w:rFonts w:hint="eastAsia"/>
                <w:b/>
                <w:szCs w:val="21"/>
              </w:rPr>
              <w:t>危险废物贮存设施标识（横版）</w:t>
            </w:r>
          </w:p>
          <w:p w14:paraId="64EE4DD0">
            <w:pPr>
              <w:jc w:val="center"/>
              <w:rPr>
                <w:bCs/>
                <w:sz w:val="24"/>
              </w:rPr>
            </w:pPr>
            <w:r>
              <w:rPr>
                <w:bCs/>
                <w:sz w:val="24"/>
              </w:rPr>
              <w:drawing>
                <wp:inline distT="0" distB="0" distL="0" distR="0">
                  <wp:extent cx="1321435" cy="2085975"/>
                  <wp:effectExtent l="0" t="0" r="0" b="0"/>
                  <wp:docPr id="3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25625" cy="2092002"/>
                          </a:xfrm>
                          <a:prstGeom prst="rect">
                            <a:avLst/>
                          </a:prstGeom>
                          <a:noFill/>
                          <a:ln>
                            <a:noFill/>
                          </a:ln>
                        </pic:spPr>
                      </pic:pic>
                    </a:graphicData>
                  </a:graphic>
                </wp:inline>
              </w:drawing>
            </w:r>
          </w:p>
          <w:p w14:paraId="252C1050">
            <w:pPr>
              <w:spacing w:line="360" w:lineRule="auto"/>
              <w:jc w:val="center"/>
              <w:rPr>
                <w:b/>
                <w:szCs w:val="21"/>
              </w:rPr>
            </w:pPr>
            <w:r>
              <w:rPr>
                <w:rFonts w:hint="eastAsia"/>
                <w:b/>
                <w:szCs w:val="21"/>
              </w:rPr>
              <w:t>图4</w:t>
            </w:r>
            <w:r>
              <w:rPr>
                <w:b/>
                <w:szCs w:val="21"/>
              </w:rPr>
              <w:t xml:space="preserve">-3  </w:t>
            </w:r>
            <w:r>
              <w:rPr>
                <w:rFonts w:hint="eastAsia"/>
                <w:b/>
                <w:szCs w:val="21"/>
              </w:rPr>
              <w:t>危险废物贮存设施标识（竖版）</w:t>
            </w:r>
          </w:p>
          <w:p w14:paraId="267A882F">
            <w:pPr>
              <w:spacing w:line="360" w:lineRule="auto"/>
              <w:ind w:firstLine="480" w:firstLineChars="200"/>
              <w:rPr>
                <w:bCs/>
                <w:sz w:val="24"/>
              </w:rPr>
            </w:pPr>
            <w:r>
              <w:rPr>
                <w:rFonts w:hint="eastAsia"/>
                <w:bCs/>
                <w:sz w:val="24"/>
              </w:rPr>
              <w:t>5. 危废暂存间污染防治措施</w:t>
            </w:r>
          </w:p>
          <w:p w14:paraId="45C7329D">
            <w:pPr>
              <w:spacing w:line="360" w:lineRule="auto"/>
              <w:ind w:firstLine="480" w:firstLineChars="200"/>
              <w:rPr>
                <w:bCs/>
                <w:sz w:val="24"/>
              </w:rPr>
            </w:pPr>
            <w:r>
              <w:rPr>
                <w:rFonts w:hint="eastAsia"/>
                <w:bCs/>
                <w:sz w:val="24"/>
              </w:rPr>
              <w:t>根据《危险废物贮存污染控制标准》（</w:t>
            </w:r>
            <w:r>
              <w:rPr>
                <w:bCs/>
                <w:sz w:val="24"/>
              </w:rPr>
              <w:t>GB18597-2023</w:t>
            </w:r>
            <w:r>
              <w:rPr>
                <w:rFonts w:hint="eastAsia"/>
                <w:bCs/>
                <w:sz w:val="24"/>
              </w:rPr>
              <w:t xml:space="preserve">），危废贮存库污染控制要求如下： </w:t>
            </w:r>
          </w:p>
          <w:p w14:paraId="05ED8C14">
            <w:pPr>
              <w:spacing w:line="360" w:lineRule="auto"/>
              <w:ind w:firstLine="482" w:firstLineChars="200"/>
              <w:rPr>
                <w:bCs/>
                <w:sz w:val="24"/>
              </w:rPr>
            </w:pPr>
            <w:r>
              <w:rPr>
                <w:rFonts w:hint="eastAsia"/>
                <w:b/>
                <w:bCs/>
                <w:sz w:val="24"/>
              </w:rPr>
              <w:t xml:space="preserve">容器和包装物污染控制要求 </w:t>
            </w:r>
          </w:p>
          <w:p w14:paraId="052382FB">
            <w:pPr>
              <w:spacing w:line="360" w:lineRule="auto"/>
              <w:ind w:firstLine="480" w:firstLineChars="200"/>
              <w:rPr>
                <w:rFonts w:hint="eastAsia" w:ascii="宋体" w:hAnsi="宋体" w:cs="宋体"/>
                <w:bCs/>
                <w:sz w:val="24"/>
              </w:rPr>
            </w:pPr>
            <w:r>
              <w:rPr>
                <w:rFonts w:hint="eastAsia"/>
                <w:bCs/>
                <w:sz w:val="24"/>
              </w:rPr>
              <w:t>①容器和包装物材质、内衬应与盛装的危险废物相容；</w:t>
            </w:r>
          </w:p>
          <w:p w14:paraId="3E649500">
            <w:pPr>
              <w:spacing w:line="360" w:lineRule="auto"/>
              <w:ind w:firstLine="480" w:firstLineChars="200"/>
              <w:rPr>
                <w:rFonts w:hint="eastAsia" w:ascii="宋体" w:hAnsi="宋体" w:cs="宋体"/>
                <w:bCs/>
                <w:sz w:val="24"/>
              </w:rPr>
            </w:pPr>
            <w:r>
              <w:rPr>
                <w:rFonts w:hint="eastAsia" w:ascii="宋体" w:hAnsi="宋体" w:cs="宋体"/>
                <w:bCs/>
                <w:sz w:val="24"/>
              </w:rPr>
              <w:t>②针对不同类别、形态、物理化学性质的危险废物，其容器和包装物应满足相应的防渗、防漏、防腐和强度等要求；</w:t>
            </w:r>
          </w:p>
          <w:p w14:paraId="33B4F538">
            <w:pPr>
              <w:spacing w:line="360" w:lineRule="auto"/>
              <w:ind w:firstLine="480" w:firstLineChars="200"/>
              <w:rPr>
                <w:rFonts w:hint="eastAsia" w:ascii="宋体" w:hAnsi="宋体" w:cs="宋体"/>
                <w:bCs/>
                <w:sz w:val="24"/>
              </w:rPr>
            </w:pPr>
            <w:r>
              <w:rPr>
                <w:rFonts w:hint="eastAsia" w:ascii="宋体" w:hAnsi="宋体" w:cs="宋体"/>
                <w:bCs/>
                <w:sz w:val="24"/>
              </w:rPr>
              <w:t>③硬质容器和包装物及其支护结构堆叠码放时不应有明显变形，无破损泄漏；</w:t>
            </w:r>
          </w:p>
          <w:p w14:paraId="4030457A">
            <w:pPr>
              <w:spacing w:line="360" w:lineRule="auto"/>
              <w:ind w:firstLine="480" w:firstLineChars="200"/>
              <w:rPr>
                <w:rFonts w:hint="eastAsia" w:ascii="宋体" w:hAnsi="宋体" w:cs="宋体"/>
                <w:bCs/>
                <w:sz w:val="24"/>
              </w:rPr>
            </w:pPr>
            <w:r>
              <w:rPr>
                <w:rFonts w:hint="eastAsia" w:ascii="宋体" w:hAnsi="宋体" w:cs="宋体"/>
                <w:bCs/>
                <w:sz w:val="24"/>
              </w:rPr>
              <w:t>④柔性容器和包装物堆叠码放时应封口严密，无破损泄漏；</w:t>
            </w:r>
          </w:p>
          <w:p w14:paraId="16E634E3">
            <w:pPr>
              <w:spacing w:line="360" w:lineRule="auto"/>
              <w:ind w:firstLine="480" w:firstLineChars="200"/>
              <w:rPr>
                <w:rFonts w:hint="eastAsia" w:ascii="宋体" w:hAnsi="宋体" w:cs="宋体"/>
                <w:bCs/>
                <w:sz w:val="24"/>
              </w:rPr>
            </w:pPr>
            <w:r>
              <w:rPr>
                <w:rFonts w:hint="eastAsia" w:ascii="宋体" w:hAnsi="宋体" w:cs="宋体"/>
                <w:bCs/>
                <w:sz w:val="24"/>
              </w:rPr>
              <w:t>⑤使用容器盛装液态、半固态危险废物时，容器内部应留有适当的空</w:t>
            </w:r>
          </w:p>
          <w:p w14:paraId="18879A98">
            <w:pPr>
              <w:spacing w:line="360" w:lineRule="auto"/>
              <w:ind w:firstLine="480" w:firstLineChars="200"/>
              <w:rPr>
                <w:rFonts w:hint="eastAsia" w:ascii="宋体" w:hAnsi="宋体" w:cs="宋体"/>
                <w:bCs/>
                <w:sz w:val="24"/>
              </w:rPr>
            </w:pPr>
            <w:r>
              <w:rPr>
                <w:rFonts w:hint="eastAsia" w:ascii="宋体" w:hAnsi="宋体" w:cs="宋体"/>
                <w:bCs/>
                <w:sz w:val="24"/>
              </w:rPr>
              <w:t>间，以适应因温度变化等可能引发的收缩和膨胀，防止其导致容器渗漏或永久变形；</w:t>
            </w:r>
          </w:p>
          <w:p w14:paraId="2542808D">
            <w:pPr>
              <w:spacing w:line="360" w:lineRule="auto"/>
              <w:ind w:firstLine="480" w:firstLineChars="200"/>
              <w:rPr>
                <w:b/>
                <w:sz w:val="24"/>
              </w:rPr>
            </w:pPr>
            <w:r>
              <w:rPr>
                <w:rFonts w:hint="eastAsia" w:ascii="宋体" w:hAnsi="宋体" w:cs="宋体"/>
                <w:bCs/>
                <w:sz w:val="24"/>
              </w:rPr>
              <w:t>⑥容器和包装物外表面应保持清洁。</w:t>
            </w:r>
          </w:p>
          <w:p w14:paraId="034A7812">
            <w:pPr>
              <w:widowControl/>
              <w:spacing w:line="360" w:lineRule="auto"/>
              <w:ind w:firstLine="482" w:firstLineChars="200"/>
              <w:rPr>
                <w:rFonts w:hint="eastAsia" w:ascii="宋体" w:hAnsi="宋体" w:cs="宋体"/>
                <w:b/>
                <w:bCs/>
                <w:color w:val="000000"/>
                <w:kern w:val="0"/>
                <w:sz w:val="24"/>
              </w:rPr>
            </w:pPr>
          </w:p>
          <w:p w14:paraId="5AECEBA8">
            <w:pPr>
              <w:widowControl/>
              <w:spacing w:line="360" w:lineRule="auto"/>
              <w:ind w:firstLine="482" w:firstLineChars="200"/>
              <w:rPr>
                <w:rFonts w:hint="eastAsia" w:ascii="宋体" w:hAnsi="宋体" w:cs="宋体"/>
                <w:b/>
                <w:bCs/>
                <w:color w:val="000000"/>
                <w:kern w:val="0"/>
                <w:sz w:val="24"/>
              </w:rPr>
            </w:pPr>
          </w:p>
          <w:p w14:paraId="4E1970D0">
            <w:pPr>
              <w:widowControl/>
              <w:spacing w:line="360" w:lineRule="auto"/>
              <w:ind w:firstLine="482" w:firstLineChars="200"/>
              <w:rPr>
                <w:rFonts w:hint="eastAsia" w:ascii="宋体" w:hAnsi="宋体" w:cs="宋体"/>
                <w:kern w:val="0"/>
                <w:sz w:val="24"/>
              </w:rPr>
            </w:pPr>
            <w:r>
              <w:rPr>
                <w:rFonts w:hint="eastAsia" w:ascii="宋体" w:hAnsi="宋体" w:cs="宋体"/>
                <w:b/>
                <w:bCs/>
                <w:color w:val="000000"/>
                <w:kern w:val="0"/>
                <w:sz w:val="24"/>
              </w:rPr>
              <w:t xml:space="preserve">贮存过程污染控制要求 </w:t>
            </w:r>
          </w:p>
          <w:p w14:paraId="4109B1CE">
            <w:pPr>
              <w:widowControl/>
              <w:spacing w:line="360" w:lineRule="auto"/>
              <w:ind w:firstLine="480" w:firstLineChars="200"/>
              <w:rPr>
                <w:rFonts w:hint="eastAsia" w:ascii="宋体" w:hAnsi="宋体" w:cs="宋体"/>
                <w:kern w:val="0"/>
                <w:sz w:val="24"/>
              </w:rPr>
            </w:pPr>
            <w:r>
              <w:rPr>
                <w:rFonts w:hint="eastAsia" w:ascii="宋体" w:hAnsi="宋体" w:cs="宋体"/>
                <w:color w:val="000000"/>
                <w:kern w:val="0"/>
                <w:sz w:val="24"/>
              </w:rPr>
              <w:t>①在常温常压下不易水解、不易挥发的固态危险废物可分类堆放贮存，其他固态危险废物应装入容器或包装物内贮存；</w:t>
            </w:r>
          </w:p>
          <w:p w14:paraId="2BF7084D">
            <w:pPr>
              <w:widowControl/>
              <w:spacing w:line="360" w:lineRule="auto"/>
              <w:ind w:firstLine="480" w:firstLineChars="200"/>
              <w:rPr>
                <w:rFonts w:hint="eastAsia" w:ascii="宋体" w:hAnsi="宋体" w:cs="宋体"/>
                <w:kern w:val="0"/>
                <w:sz w:val="24"/>
              </w:rPr>
            </w:pPr>
            <w:r>
              <w:rPr>
                <w:rFonts w:hint="eastAsia" w:ascii="宋体" w:hAnsi="宋体" w:cs="宋体"/>
                <w:color w:val="000000"/>
                <w:kern w:val="0"/>
                <w:sz w:val="24"/>
              </w:rPr>
              <w:t>②液态危险废物应装入容器内贮存，或直接采用贮存池、贮存罐区贮存；</w:t>
            </w:r>
          </w:p>
          <w:p w14:paraId="3F062AFE">
            <w:pPr>
              <w:widowControl/>
              <w:spacing w:line="360" w:lineRule="auto"/>
              <w:ind w:firstLine="480" w:firstLineChars="200"/>
              <w:rPr>
                <w:rFonts w:hint="eastAsia" w:ascii="宋体" w:hAnsi="宋体" w:cs="宋体"/>
                <w:kern w:val="0"/>
                <w:sz w:val="24"/>
              </w:rPr>
            </w:pPr>
            <w:r>
              <w:rPr>
                <w:rFonts w:hint="eastAsia" w:ascii="宋体" w:hAnsi="宋体" w:cs="宋体"/>
                <w:color w:val="000000"/>
                <w:kern w:val="0"/>
                <w:sz w:val="24"/>
              </w:rPr>
              <w:t>③半固态危险废物应装入容器或包装袋内贮存，或直接采用贮存池贮存；</w:t>
            </w:r>
          </w:p>
          <w:p w14:paraId="6AAC34E0">
            <w:pPr>
              <w:widowControl/>
              <w:spacing w:line="360" w:lineRule="auto"/>
              <w:ind w:firstLine="480" w:firstLineChars="200"/>
              <w:rPr>
                <w:rFonts w:hint="eastAsia" w:ascii="宋体" w:hAnsi="宋体" w:cs="宋体"/>
                <w:kern w:val="0"/>
                <w:sz w:val="24"/>
              </w:rPr>
            </w:pPr>
            <w:r>
              <w:rPr>
                <w:rFonts w:hint="eastAsia" w:ascii="宋体" w:hAnsi="宋体" w:cs="宋体"/>
                <w:color w:val="000000"/>
                <w:kern w:val="0"/>
                <w:sz w:val="24"/>
              </w:rPr>
              <w:t>④具有热塑性的危险废物应装入容器或包装袋内进行贮存；</w:t>
            </w:r>
          </w:p>
          <w:p w14:paraId="6B757713">
            <w:pPr>
              <w:widowControl/>
              <w:spacing w:line="360" w:lineRule="auto"/>
              <w:ind w:firstLine="480" w:firstLineChars="200"/>
              <w:rPr>
                <w:rFonts w:hint="eastAsia" w:ascii="宋体" w:hAnsi="宋体" w:cs="宋体"/>
                <w:kern w:val="0"/>
                <w:sz w:val="24"/>
              </w:rPr>
            </w:pPr>
            <w:r>
              <w:rPr>
                <w:rFonts w:hint="eastAsia" w:ascii="宋体" w:hAnsi="宋体" w:cs="宋体"/>
                <w:color w:val="000000"/>
                <w:kern w:val="0"/>
                <w:sz w:val="24"/>
              </w:rPr>
              <w:t>⑤易产生粉尘、</w:t>
            </w:r>
            <w:r>
              <w:rPr>
                <w:color w:val="000000"/>
                <w:kern w:val="0"/>
                <w:sz w:val="24"/>
              </w:rPr>
              <w:t>VOCs</w:t>
            </w:r>
            <w:r>
              <w:rPr>
                <w:rFonts w:hint="eastAsia" w:ascii="宋体" w:hAnsi="宋体" w:cs="宋体"/>
                <w:color w:val="000000"/>
                <w:kern w:val="0"/>
                <w:sz w:val="24"/>
              </w:rPr>
              <w:t>、酸雾、有毒有害大气污染物和刺激性气味气体的危险废物应装入闭口容器或包装物内贮存；</w:t>
            </w:r>
          </w:p>
          <w:p w14:paraId="1465FDDB">
            <w:pPr>
              <w:widowControl/>
              <w:spacing w:line="360" w:lineRule="auto"/>
              <w:ind w:firstLine="480" w:firstLineChars="200"/>
              <w:rPr>
                <w:b/>
                <w:sz w:val="24"/>
              </w:rPr>
            </w:pPr>
            <w:r>
              <w:rPr>
                <w:rFonts w:hint="eastAsia" w:ascii="宋体" w:hAnsi="宋体" w:cs="宋体"/>
                <w:color w:val="000000"/>
                <w:kern w:val="0"/>
                <w:sz w:val="24"/>
              </w:rPr>
              <w:t>⑥危险废物贮存过程中易产生粉尘等无组织排放的，应采取抑尘等有效措施。</w:t>
            </w:r>
          </w:p>
          <w:p w14:paraId="27C8680B">
            <w:pPr>
              <w:spacing w:line="360" w:lineRule="auto"/>
              <w:ind w:firstLine="482" w:firstLineChars="200"/>
              <w:rPr>
                <w:b/>
                <w:sz w:val="24"/>
              </w:rPr>
            </w:pPr>
            <w:r>
              <w:rPr>
                <w:rFonts w:hint="eastAsia"/>
                <w:b/>
                <w:sz w:val="24"/>
              </w:rPr>
              <w:t>贮存设施运行环境管理要求</w:t>
            </w:r>
          </w:p>
          <w:p w14:paraId="4E4C2B49">
            <w:pPr>
              <w:spacing w:line="360" w:lineRule="auto"/>
              <w:ind w:firstLine="480" w:firstLineChars="200"/>
              <w:rPr>
                <w:rFonts w:hint="eastAsia" w:ascii="宋体" w:hAnsi="宋体" w:cs="宋体"/>
                <w:bCs/>
                <w:sz w:val="24"/>
              </w:rPr>
            </w:pPr>
            <w:r>
              <w:rPr>
                <w:rFonts w:hint="eastAsia" w:ascii="宋体" w:hAnsi="宋体" w:cs="宋体"/>
                <w:bCs/>
                <w:sz w:val="24"/>
              </w:rPr>
              <w:t>①危险废物存入贮存设施前应对危险废物类别和特性与危险废物标签等危险废物识别标志的一致性进行核验，不一致的或类别、特性不明的不应存入；</w:t>
            </w:r>
          </w:p>
          <w:p w14:paraId="5B257FB0">
            <w:pPr>
              <w:spacing w:line="360" w:lineRule="auto"/>
              <w:ind w:firstLine="480" w:firstLineChars="200"/>
              <w:rPr>
                <w:rFonts w:hint="eastAsia" w:ascii="宋体" w:hAnsi="宋体" w:cs="宋体"/>
                <w:bCs/>
                <w:sz w:val="24"/>
              </w:rPr>
            </w:pPr>
            <w:r>
              <w:rPr>
                <w:rFonts w:hint="eastAsia" w:ascii="宋体" w:hAnsi="宋体" w:cs="宋体"/>
                <w:bCs/>
                <w:sz w:val="24"/>
              </w:rPr>
              <w:t>②应定期检查危险废物的贮存状况，及时清理贮存设施地面，更换破损泄漏的危险废物贮存容器和包装物，保证堆存危险废物的防雨、防风、防扬尘等设施功能完好；</w:t>
            </w:r>
          </w:p>
          <w:p w14:paraId="48A0598E">
            <w:pPr>
              <w:spacing w:line="360" w:lineRule="auto"/>
              <w:ind w:firstLine="480" w:firstLineChars="200"/>
              <w:rPr>
                <w:bCs/>
                <w:sz w:val="24"/>
              </w:rPr>
            </w:pPr>
            <w:r>
              <w:rPr>
                <w:rFonts w:hint="eastAsia" w:ascii="宋体" w:hAnsi="宋体" w:cs="宋体"/>
                <w:bCs/>
                <w:sz w:val="24"/>
              </w:rPr>
              <w:t>③作业设备及车辆等结束作业离开贮存设施时，应对其残留的危险废物进行清理，清理的废物或清洗废水应收集处理；</w:t>
            </w:r>
          </w:p>
          <w:p w14:paraId="4A987587">
            <w:pPr>
              <w:spacing w:line="360" w:lineRule="auto"/>
              <w:ind w:firstLine="480" w:firstLineChars="200"/>
              <w:rPr>
                <w:rFonts w:hint="eastAsia" w:ascii="宋体" w:hAnsi="宋体" w:cs="宋体"/>
                <w:bCs/>
                <w:sz w:val="24"/>
              </w:rPr>
            </w:pPr>
            <w:r>
              <w:rPr>
                <w:rFonts w:hint="eastAsia" w:ascii="宋体" w:hAnsi="宋体" w:cs="宋体"/>
                <w:bCs/>
                <w:sz w:val="24"/>
              </w:rPr>
              <w:t>④贮存设施运行期间，应按国家有关标准和规定建立危险废物管理台账并保存；</w:t>
            </w:r>
          </w:p>
          <w:p w14:paraId="55E186D2">
            <w:pPr>
              <w:spacing w:line="360" w:lineRule="auto"/>
              <w:ind w:firstLine="480" w:firstLineChars="200"/>
              <w:rPr>
                <w:rFonts w:hint="eastAsia" w:ascii="宋体" w:hAnsi="宋体" w:cs="宋体"/>
                <w:bCs/>
                <w:sz w:val="24"/>
              </w:rPr>
            </w:pPr>
            <w:r>
              <w:rPr>
                <w:rFonts w:hint="eastAsia" w:ascii="宋体" w:hAnsi="宋体" w:cs="宋体"/>
                <w:bCs/>
                <w:sz w:val="24"/>
              </w:rPr>
              <w:t>⑤贮存设施所有者或运营者应建立贮存设施环境管理制度、管理人员岗位职责制度、设施运行操作制度、人员岗位培训制度等；</w:t>
            </w:r>
          </w:p>
          <w:p w14:paraId="47FE0AC5">
            <w:pPr>
              <w:spacing w:line="360" w:lineRule="auto"/>
              <w:ind w:firstLine="480" w:firstLineChars="200"/>
              <w:rPr>
                <w:rFonts w:hint="eastAsia" w:ascii="宋体" w:hAnsi="宋体" w:cs="宋体"/>
                <w:bCs/>
                <w:sz w:val="24"/>
              </w:rPr>
            </w:pPr>
            <w:r>
              <w:rPr>
                <w:rFonts w:hint="eastAsia" w:ascii="宋体" w:hAnsi="宋体" w:cs="宋体"/>
                <w:bCs/>
                <w:sz w:val="24"/>
              </w:rPr>
              <w:t>⑥贮存设施所有者或运营者应依据国家土壤和地下水污染防治的有关规定，结合贮存设施特点建立土壤和地下水污染隐患排查制度，并定期开展隐患排查；发现隐患应及时采取措施消除隐患，并建立档案；</w:t>
            </w:r>
          </w:p>
          <w:p w14:paraId="77EFF14B">
            <w:pPr>
              <w:spacing w:line="360" w:lineRule="auto"/>
              <w:ind w:firstLine="480" w:firstLineChars="200"/>
              <w:rPr>
                <w:rFonts w:hint="eastAsia" w:ascii="宋体" w:hAnsi="宋体" w:cs="宋体"/>
                <w:bCs/>
                <w:sz w:val="24"/>
              </w:rPr>
            </w:pPr>
            <w:r>
              <w:rPr>
                <w:rFonts w:hint="eastAsia" w:ascii="宋体" w:hAnsi="宋体" w:cs="宋体"/>
                <w:bCs/>
                <w:sz w:val="24"/>
              </w:rPr>
              <w:t>⑦贮存设施所有者或运营者应建立贮存设施全部档案，包括设计、施工、验收、运行、监测和环境应急等，应按国家有关档案管理的法律法规进行整理和归档。</w:t>
            </w:r>
          </w:p>
          <w:p w14:paraId="4B08C042">
            <w:pPr>
              <w:spacing w:line="360" w:lineRule="auto"/>
              <w:ind w:firstLine="480" w:firstLineChars="200"/>
              <w:rPr>
                <w:bCs/>
                <w:sz w:val="24"/>
              </w:rPr>
            </w:pPr>
            <w:r>
              <w:rPr>
                <w:rFonts w:hint="eastAsia" w:ascii="宋体" w:hAnsi="宋体" w:cs="宋体"/>
                <w:bCs/>
                <w:sz w:val="24"/>
              </w:rPr>
              <w:t>综上所述，项目运行期间产生的生活垃圾、一般工业固体废物及危险废物均能够得到有效合理的处置，不会对环境产生影响。</w:t>
            </w:r>
          </w:p>
          <w:p w14:paraId="29C4811D">
            <w:pPr>
              <w:adjustRightInd w:val="0"/>
              <w:snapToGrid w:val="0"/>
              <w:spacing w:line="360" w:lineRule="auto"/>
              <w:rPr>
                <w:b/>
                <w:sz w:val="24"/>
                <w:highlight w:val="yellow"/>
              </w:rPr>
            </w:pPr>
            <w:r>
              <w:rPr>
                <w:rFonts w:hint="eastAsia"/>
                <w:b/>
                <w:sz w:val="24"/>
              </w:rPr>
              <w:t>4</w:t>
            </w:r>
            <w:r>
              <w:rPr>
                <w:b/>
                <w:sz w:val="24"/>
              </w:rPr>
              <w:t>.2.5</w:t>
            </w:r>
            <w:r>
              <w:rPr>
                <w:rFonts w:hint="eastAsia"/>
                <w:b/>
                <w:sz w:val="24"/>
              </w:rPr>
              <w:t>地下水、土壤环境影响分析及污染防治措施</w:t>
            </w:r>
          </w:p>
          <w:p w14:paraId="729A06E8">
            <w:pPr>
              <w:pStyle w:val="578"/>
              <w:ind w:firstLine="480"/>
            </w:pPr>
            <w:r>
              <w:rPr>
                <w:rFonts w:hint="eastAsia"/>
              </w:rPr>
              <w:t>（1）污染源、污染途径</w:t>
            </w:r>
          </w:p>
          <w:p w14:paraId="1A07D62A">
            <w:pPr>
              <w:pStyle w:val="578"/>
              <w:ind w:firstLine="480"/>
            </w:pPr>
            <w:r>
              <w:rPr>
                <w:rFonts w:hint="eastAsia"/>
              </w:rPr>
              <w:t>本项目地下水和土壤的污染源主要为危废贮存库、厂区内各类水池。危废贮存库的主要污染物为废机油和废润滑油，污染途径为地面防渗层损坏导致污染物沿缝隙入渗进入土壤，进而可能污染地下水。初期雨水收集池和洗车平台的沉淀池主要污染物为池内废水，污染途径为池体破裂导致废水泄漏直接进入土壤，并下渗可能污染地下水。</w:t>
            </w:r>
          </w:p>
          <w:p w14:paraId="39AFC1AE">
            <w:pPr>
              <w:pStyle w:val="578"/>
              <w:ind w:firstLine="480"/>
              <w:rPr>
                <w:snapToGrid/>
                <w:kern w:val="2"/>
                <w:szCs w:val="32"/>
              </w:rPr>
            </w:pPr>
            <w:r>
              <w:rPr>
                <w:snapToGrid/>
                <w:kern w:val="2"/>
                <w:szCs w:val="32"/>
              </w:rPr>
              <w:t>（2）防治措施</w:t>
            </w:r>
          </w:p>
          <w:p w14:paraId="26A6016F">
            <w:pPr>
              <w:pStyle w:val="578"/>
              <w:ind w:firstLine="480"/>
              <w:rPr>
                <w:snapToGrid/>
                <w:kern w:val="2"/>
                <w:szCs w:val="32"/>
              </w:rPr>
            </w:pPr>
            <w:r>
              <w:rPr>
                <w:rFonts w:hint="eastAsia" w:ascii="Cambria Math" w:hAnsi="Cambria Math" w:cs="Cambria Math"/>
                <w:snapToGrid/>
                <w:kern w:val="2"/>
                <w:szCs w:val="32"/>
              </w:rPr>
              <w:t>①</w:t>
            </w:r>
            <w:r>
              <w:rPr>
                <w:rFonts w:hint="eastAsia"/>
                <w:snapToGrid/>
                <w:kern w:val="2"/>
                <w:szCs w:val="32"/>
              </w:rPr>
              <w:t>严格按照《危险废物贮存污染控制标准》（</w:t>
            </w:r>
            <w:r>
              <w:rPr>
                <w:snapToGrid/>
                <w:kern w:val="2"/>
                <w:szCs w:val="32"/>
              </w:rPr>
              <w:t>GB18597-2023</w:t>
            </w:r>
            <w:r>
              <w:rPr>
                <w:rFonts w:hint="eastAsia"/>
                <w:snapToGrid/>
                <w:kern w:val="2"/>
                <w:szCs w:val="32"/>
              </w:rPr>
              <w:t>）中要求建设危险废物贮存库，并完善危废贮存库的维护制度，建立巡检制度，定期检查裙角等设施，发现有损坏可能或异常，及时修复处理，废液贮存分区四周设置导流槽和集液池（截面</w:t>
            </w:r>
            <w:r>
              <w:rPr>
                <w:snapToGrid/>
                <w:kern w:val="2"/>
                <w:szCs w:val="32"/>
              </w:rPr>
              <w:t>0.15m</w:t>
            </w:r>
            <w:r>
              <w:rPr>
                <w:rFonts w:hint="eastAsia"/>
                <w:snapToGrid/>
                <w:kern w:val="2"/>
                <w:szCs w:val="32"/>
              </w:rPr>
              <w:t>×</w:t>
            </w:r>
            <w:r>
              <w:rPr>
                <w:snapToGrid/>
                <w:kern w:val="2"/>
                <w:szCs w:val="32"/>
              </w:rPr>
              <w:t>0.05m</w:t>
            </w:r>
            <w:r>
              <w:rPr>
                <w:rFonts w:hint="eastAsia"/>
                <w:snapToGrid/>
                <w:kern w:val="2"/>
                <w:szCs w:val="32"/>
              </w:rPr>
              <w:t>）和</w:t>
            </w:r>
            <w:r>
              <w:rPr>
                <w:snapToGrid/>
                <w:kern w:val="2"/>
                <w:szCs w:val="32"/>
              </w:rPr>
              <w:t>1m</w:t>
            </w:r>
            <w:r>
              <w:rPr>
                <w:snapToGrid/>
                <w:kern w:val="2"/>
                <w:szCs w:val="32"/>
                <w:vertAlign w:val="superscript"/>
              </w:rPr>
              <w:t>3</w:t>
            </w:r>
            <w:r>
              <w:rPr>
                <w:rFonts w:hint="eastAsia"/>
                <w:snapToGrid/>
                <w:kern w:val="2"/>
                <w:szCs w:val="32"/>
              </w:rPr>
              <w:t>事故集液池，地面采取防腐防渗措施，保证废液泄漏不会对地下水及土壤造成影响。从源头上预防对地下水和土壤造成污染。</w:t>
            </w:r>
          </w:p>
          <w:p w14:paraId="4991D544">
            <w:pPr>
              <w:pStyle w:val="578"/>
              <w:ind w:firstLine="480"/>
              <w:rPr>
                <w:snapToGrid/>
                <w:kern w:val="2"/>
                <w:szCs w:val="32"/>
              </w:rPr>
            </w:pPr>
            <w:r>
              <w:rPr>
                <w:rFonts w:hint="eastAsia" w:ascii="Cambria Math" w:hAnsi="Cambria Math" w:cs="Cambria Math"/>
                <w:snapToGrid/>
                <w:kern w:val="2"/>
                <w:szCs w:val="32"/>
              </w:rPr>
              <w:t>②</w:t>
            </w:r>
            <w:r>
              <w:rPr>
                <w:rFonts w:hint="eastAsia"/>
                <w:snapToGrid/>
                <w:kern w:val="2"/>
                <w:szCs w:val="32"/>
              </w:rPr>
              <w:t>定期对地面防渗措施有效性进行检查，从源头上防止污水进入地下水含水层之中。</w:t>
            </w:r>
          </w:p>
          <w:p w14:paraId="7AAF78A7">
            <w:pPr>
              <w:pStyle w:val="578"/>
              <w:ind w:firstLine="480"/>
            </w:pPr>
            <w:r>
              <w:rPr>
                <w:rFonts w:hint="eastAsia" w:ascii="Cambria Math" w:hAnsi="Cambria Math" w:cs="Cambria Math"/>
                <w:szCs w:val="32"/>
              </w:rPr>
              <w:t>③</w:t>
            </w:r>
            <w:r>
              <w:rPr>
                <w:rFonts w:hint="eastAsia"/>
                <w:szCs w:val="32"/>
              </w:rPr>
              <w:t>定期对存放废水的初期雨水收集池和洗车平台沉淀池进行检查，及时发现并修复池体破损，防止废水通过破损处渗漏污染土壤和地下水。</w:t>
            </w:r>
          </w:p>
          <w:p w14:paraId="38B48E89">
            <w:pPr>
              <w:spacing w:line="360" w:lineRule="auto"/>
              <w:ind w:firstLine="480" w:firstLineChars="200"/>
              <w:rPr>
                <w:sz w:val="24"/>
              </w:rPr>
            </w:pPr>
            <w:r>
              <w:rPr>
                <w:rFonts w:hint="eastAsia"/>
                <w:sz w:val="24"/>
              </w:rPr>
              <w:t>（3）分区防渗</w:t>
            </w:r>
          </w:p>
          <w:p w14:paraId="01CCFEF5">
            <w:pPr>
              <w:spacing w:line="360" w:lineRule="auto"/>
              <w:ind w:firstLine="480" w:firstLineChars="200"/>
              <w:rPr>
                <w:sz w:val="24"/>
              </w:rPr>
            </w:pPr>
            <w:r>
              <w:rPr>
                <w:rFonts w:hint="eastAsia"/>
                <w:sz w:val="24"/>
              </w:rPr>
              <w:t>本项目采取分区防渗措施，防渗分区的划分及不通风区的防渗措施详见表4-14。</w:t>
            </w:r>
          </w:p>
          <w:p w14:paraId="305DA0AC">
            <w:pPr>
              <w:spacing w:line="360" w:lineRule="auto"/>
              <w:ind w:firstLine="480" w:firstLineChars="200"/>
              <w:rPr>
                <w:sz w:val="24"/>
              </w:rPr>
            </w:pPr>
            <w:r>
              <w:rPr>
                <w:rFonts w:hint="eastAsia"/>
                <w:sz w:val="24"/>
              </w:rPr>
              <w:t>综上，采取以上措施后本项目基本不会对土壤和地下水环境造成影响。</w:t>
            </w:r>
          </w:p>
          <w:p w14:paraId="12E9ABA6">
            <w:pPr>
              <w:spacing w:line="360" w:lineRule="auto"/>
              <w:jc w:val="center"/>
              <w:rPr>
                <w:b/>
                <w:bCs/>
                <w:szCs w:val="21"/>
              </w:rPr>
            </w:pPr>
          </w:p>
          <w:p w14:paraId="296ABC86">
            <w:pPr>
              <w:spacing w:line="360" w:lineRule="auto"/>
              <w:jc w:val="center"/>
              <w:rPr>
                <w:b/>
                <w:bCs/>
                <w:szCs w:val="21"/>
              </w:rPr>
            </w:pPr>
          </w:p>
          <w:p w14:paraId="7ECF2383">
            <w:pPr>
              <w:spacing w:line="360" w:lineRule="auto"/>
              <w:jc w:val="center"/>
              <w:rPr>
                <w:b/>
                <w:bCs/>
                <w:szCs w:val="21"/>
              </w:rPr>
            </w:pPr>
          </w:p>
          <w:p w14:paraId="6B9259B0">
            <w:pPr>
              <w:spacing w:line="360" w:lineRule="auto"/>
              <w:jc w:val="center"/>
              <w:rPr>
                <w:b/>
                <w:bCs/>
                <w:szCs w:val="21"/>
              </w:rPr>
            </w:pPr>
            <w:r>
              <w:rPr>
                <w:rFonts w:hint="eastAsia"/>
                <w:b/>
                <w:bCs/>
                <w:szCs w:val="21"/>
              </w:rPr>
              <w:t>表4</w:t>
            </w:r>
            <w:r>
              <w:rPr>
                <w:b/>
                <w:bCs/>
                <w:szCs w:val="21"/>
              </w:rPr>
              <w:t>-1</w:t>
            </w:r>
            <w:r>
              <w:rPr>
                <w:rFonts w:hint="eastAsia"/>
                <w:b/>
                <w:bCs/>
                <w:szCs w:val="21"/>
              </w:rPr>
              <w:t>4</w:t>
            </w:r>
            <w:r>
              <w:rPr>
                <w:b/>
                <w:bCs/>
                <w:szCs w:val="21"/>
              </w:rPr>
              <w:t xml:space="preserve">  </w:t>
            </w:r>
            <w:r>
              <w:rPr>
                <w:rFonts w:hint="eastAsia"/>
                <w:b/>
                <w:bCs/>
                <w:szCs w:val="21"/>
              </w:rPr>
              <w:t>分区防渗措施</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6"/>
              <w:gridCol w:w="932"/>
              <w:gridCol w:w="1245"/>
              <w:gridCol w:w="1533"/>
              <w:gridCol w:w="3508"/>
            </w:tblGrid>
            <w:tr w14:paraId="0EB9C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5" w:type="dxa"/>
                  <w:vAlign w:val="center"/>
                </w:tcPr>
                <w:p w14:paraId="6887B3F0">
                  <w:pPr>
                    <w:jc w:val="center"/>
                    <w:rPr>
                      <w:szCs w:val="21"/>
                    </w:rPr>
                  </w:pPr>
                  <w:r>
                    <w:rPr>
                      <w:rFonts w:hint="eastAsia"/>
                      <w:szCs w:val="21"/>
                    </w:rPr>
                    <w:t>序号</w:t>
                  </w:r>
                </w:p>
              </w:tc>
              <w:tc>
                <w:tcPr>
                  <w:tcW w:w="943" w:type="dxa"/>
                  <w:vAlign w:val="center"/>
                </w:tcPr>
                <w:p w14:paraId="390EF9E5">
                  <w:pPr>
                    <w:jc w:val="center"/>
                    <w:rPr>
                      <w:szCs w:val="21"/>
                    </w:rPr>
                  </w:pPr>
                  <w:r>
                    <w:rPr>
                      <w:rFonts w:hint="eastAsia"/>
                      <w:szCs w:val="21"/>
                    </w:rPr>
                    <w:t>场地</w:t>
                  </w:r>
                </w:p>
              </w:tc>
              <w:tc>
                <w:tcPr>
                  <w:tcW w:w="1276" w:type="dxa"/>
                  <w:vAlign w:val="center"/>
                </w:tcPr>
                <w:p w14:paraId="0E959BC3">
                  <w:pPr>
                    <w:jc w:val="center"/>
                    <w:rPr>
                      <w:szCs w:val="21"/>
                    </w:rPr>
                  </w:pPr>
                  <w:r>
                    <w:rPr>
                      <w:rFonts w:hint="eastAsia"/>
                      <w:szCs w:val="21"/>
                    </w:rPr>
                    <w:t>分区防渗</w:t>
                  </w:r>
                </w:p>
              </w:tc>
              <w:tc>
                <w:tcPr>
                  <w:tcW w:w="1559" w:type="dxa"/>
                  <w:vAlign w:val="center"/>
                </w:tcPr>
                <w:p w14:paraId="1C854BF4">
                  <w:pPr>
                    <w:jc w:val="center"/>
                    <w:rPr>
                      <w:szCs w:val="21"/>
                    </w:rPr>
                  </w:pPr>
                  <w:r>
                    <w:rPr>
                      <w:rFonts w:hint="eastAsia"/>
                      <w:szCs w:val="21"/>
                    </w:rPr>
                    <w:t>防渗技术要求</w:t>
                  </w:r>
                </w:p>
              </w:tc>
              <w:tc>
                <w:tcPr>
                  <w:tcW w:w="3601" w:type="dxa"/>
                  <w:vAlign w:val="center"/>
                </w:tcPr>
                <w:p w14:paraId="40BF8763">
                  <w:pPr>
                    <w:jc w:val="center"/>
                    <w:rPr>
                      <w:szCs w:val="21"/>
                    </w:rPr>
                  </w:pPr>
                  <w:r>
                    <w:rPr>
                      <w:rFonts w:hint="eastAsia"/>
                      <w:szCs w:val="21"/>
                    </w:rPr>
                    <w:t>防渗措施</w:t>
                  </w:r>
                </w:p>
              </w:tc>
            </w:tr>
            <w:tr w14:paraId="613AB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8" w:hRule="atLeast"/>
                <w:jc w:val="center"/>
              </w:trPr>
              <w:tc>
                <w:tcPr>
                  <w:tcW w:w="675" w:type="dxa"/>
                  <w:vAlign w:val="center"/>
                </w:tcPr>
                <w:p w14:paraId="070F3933">
                  <w:pPr>
                    <w:jc w:val="center"/>
                    <w:rPr>
                      <w:szCs w:val="21"/>
                    </w:rPr>
                  </w:pPr>
                  <w:r>
                    <w:rPr>
                      <w:szCs w:val="21"/>
                    </w:rPr>
                    <w:t>1</w:t>
                  </w:r>
                </w:p>
              </w:tc>
              <w:tc>
                <w:tcPr>
                  <w:tcW w:w="943" w:type="dxa"/>
                  <w:vAlign w:val="center"/>
                </w:tcPr>
                <w:p w14:paraId="6E1216BE">
                  <w:pPr>
                    <w:jc w:val="center"/>
                    <w:rPr>
                      <w:szCs w:val="21"/>
                    </w:rPr>
                  </w:pPr>
                  <w:r>
                    <w:rPr>
                      <w:rFonts w:hint="eastAsia"/>
                      <w:szCs w:val="21"/>
                    </w:rPr>
                    <w:t>危废贮</w:t>
                  </w:r>
                </w:p>
                <w:p w14:paraId="46FF6039">
                  <w:pPr>
                    <w:jc w:val="center"/>
                    <w:rPr>
                      <w:szCs w:val="21"/>
                    </w:rPr>
                  </w:pPr>
                  <w:r>
                    <w:rPr>
                      <w:rFonts w:hint="eastAsia"/>
                      <w:szCs w:val="21"/>
                    </w:rPr>
                    <w:t>存库</w:t>
                  </w:r>
                </w:p>
              </w:tc>
              <w:tc>
                <w:tcPr>
                  <w:tcW w:w="1276" w:type="dxa"/>
                  <w:vAlign w:val="center"/>
                </w:tcPr>
                <w:p w14:paraId="60B05612">
                  <w:pPr>
                    <w:jc w:val="center"/>
                    <w:rPr>
                      <w:szCs w:val="21"/>
                    </w:rPr>
                  </w:pPr>
                  <w:r>
                    <w:rPr>
                      <w:rFonts w:hint="eastAsia"/>
                      <w:szCs w:val="21"/>
                    </w:rPr>
                    <w:t>重点</w:t>
                  </w:r>
                </w:p>
                <w:p w14:paraId="4E1B4572">
                  <w:pPr>
                    <w:jc w:val="center"/>
                    <w:rPr>
                      <w:szCs w:val="21"/>
                    </w:rPr>
                  </w:pPr>
                  <w:r>
                    <w:rPr>
                      <w:rFonts w:hint="eastAsia"/>
                      <w:szCs w:val="21"/>
                    </w:rPr>
                    <w:t>防渗区</w:t>
                  </w:r>
                </w:p>
              </w:tc>
              <w:tc>
                <w:tcPr>
                  <w:tcW w:w="1559" w:type="dxa"/>
                  <w:vAlign w:val="center"/>
                </w:tcPr>
                <w:p w14:paraId="0743FEFC">
                  <w:pPr>
                    <w:jc w:val="center"/>
                    <w:rPr>
                      <w:szCs w:val="21"/>
                    </w:rPr>
                  </w:pPr>
                  <w:r>
                    <w:rPr>
                      <w:rFonts w:hint="eastAsia"/>
                      <w:szCs w:val="21"/>
                    </w:rPr>
                    <w:t>等效粘土防渗层Mb≥6.0m，K≤1×10</w:t>
                  </w:r>
                  <w:r>
                    <w:rPr>
                      <w:rFonts w:hint="eastAsia"/>
                      <w:szCs w:val="21"/>
                      <w:vertAlign w:val="superscript"/>
                    </w:rPr>
                    <w:t>-</w:t>
                  </w:r>
                  <w:r>
                    <w:rPr>
                      <w:szCs w:val="21"/>
                      <w:vertAlign w:val="superscript"/>
                    </w:rPr>
                    <w:t>10</w:t>
                  </w:r>
                  <w:r>
                    <w:rPr>
                      <w:szCs w:val="21"/>
                    </w:rPr>
                    <w:t>cm/s</w:t>
                  </w:r>
                </w:p>
              </w:tc>
              <w:tc>
                <w:tcPr>
                  <w:tcW w:w="3601" w:type="dxa"/>
                  <w:vAlign w:val="center"/>
                </w:tcPr>
                <w:p w14:paraId="5699B17C">
                  <w:pPr>
                    <w:jc w:val="center"/>
                    <w:rPr>
                      <w:szCs w:val="21"/>
                    </w:rPr>
                  </w:pPr>
                  <w:r>
                    <w:t>采取下铺砌砂石基层，地面素土夯实上部采用混凝土结构，3:7灰土基层200mm；基础层采用C25抗渗混凝土浇筑，抗渗混凝土的抗渗等级不宜小于P8，厚度在200mm以上，上层涂刷环氧树脂防腐地平漆；污染区地面应设计一定坡度，坡度根据竖向布置一般不小于0.3%，且区域内不应出现平坡和排水不畅区</w:t>
                  </w:r>
                  <w:r>
                    <w:rPr>
                      <w:rFonts w:hint="eastAsia"/>
                    </w:rPr>
                    <w:t>。</w:t>
                  </w:r>
                </w:p>
              </w:tc>
            </w:tr>
            <w:tr w14:paraId="37738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5" w:type="dxa"/>
                  <w:vAlign w:val="center"/>
                </w:tcPr>
                <w:p w14:paraId="2435B16D">
                  <w:pPr>
                    <w:jc w:val="center"/>
                    <w:rPr>
                      <w:szCs w:val="21"/>
                    </w:rPr>
                  </w:pPr>
                  <w:r>
                    <w:rPr>
                      <w:rFonts w:hint="eastAsia"/>
                      <w:szCs w:val="21"/>
                    </w:rPr>
                    <w:t>2</w:t>
                  </w:r>
                </w:p>
              </w:tc>
              <w:tc>
                <w:tcPr>
                  <w:tcW w:w="943" w:type="dxa"/>
                  <w:vAlign w:val="center"/>
                </w:tcPr>
                <w:p w14:paraId="3AE45D7E">
                  <w:pPr>
                    <w:jc w:val="center"/>
                    <w:rPr>
                      <w:szCs w:val="21"/>
                    </w:rPr>
                  </w:pPr>
                  <w:r>
                    <w:rPr>
                      <w:rFonts w:hint="eastAsia"/>
                      <w:szCs w:val="21"/>
                    </w:rPr>
                    <w:t>生产区、原料区、办公区</w:t>
                  </w:r>
                </w:p>
              </w:tc>
              <w:tc>
                <w:tcPr>
                  <w:tcW w:w="1276" w:type="dxa"/>
                  <w:vAlign w:val="center"/>
                </w:tcPr>
                <w:p w14:paraId="535C86F2">
                  <w:pPr>
                    <w:jc w:val="center"/>
                    <w:rPr>
                      <w:szCs w:val="21"/>
                    </w:rPr>
                  </w:pPr>
                  <w:r>
                    <w:rPr>
                      <w:rFonts w:hint="eastAsia"/>
                      <w:szCs w:val="21"/>
                    </w:rPr>
                    <w:t>一般</w:t>
                  </w:r>
                </w:p>
                <w:p w14:paraId="65E37BC5">
                  <w:pPr>
                    <w:jc w:val="center"/>
                    <w:rPr>
                      <w:szCs w:val="21"/>
                    </w:rPr>
                  </w:pPr>
                  <w:r>
                    <w:rPr>
                      <w:rFonts w:hint="eastAsia"/>
                      <w:szCs w:val="21"/>
                    </w:rPr>
                    <w:t>防渗区</w:t>
                  </w:r>
                </w:p>
              </w:tc>
              <w:tc>
                <w:tcPr>
                  <w:tcW w:w="1559" w:type="dxa"/>
                  <w:vAlign w:val="center"/>
                </w:tcPr>
                <w:p w14:paraId="63101BF7">
                  <w:pPr>
                    <w:jc w:val="center"/>
                    <w:rPr>
                      <w:szCs w:val="21"/>
                    </w:rPr>
                  </w:pPr>
                  <w:r>
                    <w:rPr>
                      <w:rFonts w:hint="eastAsia"/>
                      <w:szCs w:val="21"/>
                    </w:rPr>
                    <w:t>等效粘土防渗层Mb≥1.5m，K≤1×10</w:t>
                  </w:r>
                  <w:r>
                    <w:rPr>
                      <w:rFonts w:hint="eastAsia"/>
                      <w:szCs w:val="21"/>
                      <w:vertAlign w:val="superscript"/>
                    </w:rPr>
                    <w:t>-</w:t>
                  </w:r>
                  <w:r>
                    <w:rPr>
                      <w:szCs w:val="21"/>
                      <w:vertAlign w:val="superscript"/>
                    </w:rPr>
                    <w:t>7</w:t>
                  </w:r>
                  <w:r>
                    <w:rPr>
                      <w:szCs w:val="21"/>
                    </w:rPr>
                    <w:t>cm/s</w:t>
                  </w:r>
                </w:p>
              </w:tc>
              <w:tc>
                <w:tcPr>
                  <w:tcW w:w="3601" w:type="dxa"/>
                  <w:vAlign w:val="center"/>
                </w:tcPr>
                <w:p w14:paraId="7C0DC60B">
                  <w:pPr>
                    <w:jc w:val="center"/>
                    <w:rPr>
                      <w:szCs w:val="21"/>
                    </w:rPr>
                  </w:pPr>
                  <w:r>
                    <w:rPr>
                      <w:rFonts w:hint="eastAsia"/>
                      <w:color w:val="000000"/>
                    </w:rPr>
                    <w:t>采用C</w:t>
                  </w:r>
                  <w:r>
                    <w:rPr>
                      <w:color w:val="000000"/>
                    </w:rPr>
                    <w:t>20</w:t>
                  </w:r>
                  <w:r>
                    <w:rPr>
                      <w:rFonts w:hint="eastAsia"/>
                      <w:color w:val="000000"/>
                    </w:rPr>
                    <w:t>混凝土硬化，厚度</w:t>
                  </w:r>
                  <w:r>
                    <w:rPr>
                      <w:color w:val="000000"/>
                    </w:rPr>
                    <w:t>20</w:t>
                  </w:r>
                  <w:r>
                    <w:rPr>
                      <w:rFonts w:hint="eastAsia"/>
                      <w:color w:val="000000"/>
                    </w:rPr>
                    <w:t>cm，底部做防水层处理，采用防水剂、防冻剂与水泥沙浆混合涂层，厚度不低于3cm，保证地面防渗性能。</w:t>
                  </w:r>
                </w:p>
              </w:tc>
            </w:tr>
            <w:tr w14:paraId="2BEE9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5" w:type="dxa"/>
                  <w:vAlign w:val="center"/>
                </w:tcPr>
                <w:p w14:paraId="656B787B">
                  <w:pPr>
                    <w:jc w:val="center"/>
                    <w:rPr>
                      <w:szCs w:val="21"/>
                    </w:rPr>
                  </w:pPr>
                  <w:r>
                    <w:rPr>
                      <w:rFonts w:hint="eastAsia"/>
                      <w:szCs w:val="21"/>
                    </w:rPr>
                    <w:t>3</w:t>
                  </w:r>
                </w:p>
              </w:tc>
              <w:tc>
                <w:tcPr>
                  <w:tcW w:w="943" w:type="dxa"/>
                  <w:vAlign w:val="center"/>
                </w:tcPr>
                <w:p w14:paraId="66F9EF22">
                  <w:pPr>
                    <w:jc w:val="center"/>
                    <w:rPr>
                      <w:szCs w:val="21"/>
                    </w:rPr>
                  </w:pPr>
                  <w:r>
                    <w:rPr>
                      <w:rFonts w:hint="eastAsia"/>
                      <w:szCs w:val="21"/>
                    </w:rPr>
                    <w:t>厂区道路</w:t>
                  </w:r>
                </w:p>
              </w:tc>
              <w:tc>
                <w:tcPr>
                  <w:tcW w:w="1276" w:type="dxa"/>
                  <w:vAlign w:val="center"/>
                </w:tcPr>
                <w:p w14:paraId="3FA2F492">
                  <w:pPr>
                    <w:jc w:val="center"/>
                    <w:rPr>
                      <w:szCs w:val="21"/>
                    </w:rPr>
                  </w:pPr>
                  <w:r>
                    <w:rPr>
                      <w:rFonts w:hint="eastAsia"/>
                      <w:szCs w:val="21"/>
                    </w:rPr>
                    <w:t>简单</w:t>
                  </w:r>
                </w:p>
                <w:p w14:paraId="1D57CD23">
                  <w:pPr>
                    <w:jc w:val="center"/>
                    <w:rPr>
                      <w:szCs w:val="21"/>
                    </w:rPr>
                  </w:pPr>
                  <w:r>
                    <w:rPr>
                      <w:rFonts w:hint="eastAsia"/>
                      <w:szCs w:val="21"/>
                    </w:rPr>
                    <w:t>防渗区</w:t>
                  </w:r>
                </w:p>
              </w:tc>
              <w:tc>
                <w:tcPr>
                  <w:tcW w:w="1559" w:type="dxa"/>
                  <w:vAlign w:val="center"/>
                </w:tcPr>
                <w:p w14:paraId="4C656CC3">
                  <w:pPr>
                    <w:jc w:val="center"/>
                    <w:rPr>
                      <w:szCs w:val="21"/>
                    </w:rPr>
                  </w:pPr>
                  <w:r>
                    <w:rPr>
                      <w:rFonts w:hint="eastAsia"/>
                      <w:szCs w:val="21"/>
                    </w:rPr>
                    <w:t>一般地面硬化</w:t>
                  </w:r>
                </w:p>
              </w:tc>
              <w:tc>
                <w:tcPr>
                  <w:tcW w:w="3601" w:type="dxa"/>
                  <w:vAlign w:val="center"/>
                </w:tcPr>
                <w:p w14:paraId="6A0A65C1">
                  <w:pPr>
                    <w:jc w:val="center"/>
                    <w:rPr>
                      <w:szCs w:val="21"/>
                    </w:rPr>
                  </w:pPr>
                  <w:r>
                    <w:rPr>
                      <w:rFonts w:hint="eastAsia"/>
                      <w:szCs w:val="21"/>
                    </w:rPr>
                    <w:t>C</w:t>
                  </w:r>
                  <w:r>
                    <w:rPr>
                      <w:szCs w:val="21"/>
                    </w:rPr>
                    <w:t>2</w:t>
                  </w:r>
                  <w:r>
                    <w:rPr>
                      <w:rFonts w:hint="eastAsia"/>
                      <w:szCs w:val="21"/>
                    </w:rPr>
                    <w:t>0混凝土硬化，厚度2</w:t>
                  </w:r>
                  <w:r>
                    <w:rPr>
                      <w:szCs w:val="21"/>
                    </w:rPr>
                    <w:t>5</w:t>
                  </w:r>
                  <w:r>
                    <w:rPr>
                      <w:rFonts w:hint="eastAsia"/>
                      <w:szCs w:val="21"/>
                    </w:rPr>
                    <w:t>cm；基础土分层夯实，压实系数不小于0.95。</w:t>
                  </w:r>
                </w:p>
              </w:tc>
            </w:tr>
          </w:tbl>
          <w:p w14:paraId="7A8C2FD0">
            <w:pPr>
              <w:spacing w:line="360" w:lineRule="auto"/>
              <w:ind w:firstLine="480" w:firstLineChars="200"/>
              <w:rPr>
                <w:sz w:val="32"/>
                <w:szCs w:val="32"/>
              </w:rPr>
            </w:pPr>
            <w:r>
              <w:rPr>
                <w:rFonts w:hint="eastAsia"/>
                <w:sz w:val="24"/>
              </w:rPr>
              <w:t>本项目厂区防渗分区示意图见附图12-1、附图12-2。</w:t>
            </w:r>
          </w:p>
          <w:p w14:paraId="6F133373">
            <w:pPr>
              <w:spacing w:line="360" w:lineRule="auto"/>
              <w:jc w:val="left"/>
              <w:rPr>
                <w:b/>
                <w:sz w:val="24"/>
              </w:rPr>
            </w:pPr>
            <w:r>
              <w:rPr>
                <w:b/>
                <w:sz w:val="24"/>
              </w:rPr>
              <w:t>4.2.6环境风险分析</w:t>
            </w:r>
          </w:p>
          <w:p w14:paraId="4EA9AA67">
            <w:pPr>
              <w:spacing w:line="360" w:lineRule="auto"/>
              <w:ind w:firstLine="480" w:firstLineChars="200"/>
              <w:rPr>
                <w:sz w:val="24"/>
              </w:rPr>
            </w:pPr>
            <w:r>
              <w:rPr>
                <w:rFonts w:hint="eastAsia"/>
                <w:sz w:val="24"/>
              </w:rPr>
              <w:t>（1）危险物质及风险源</w:t>
            </w:r>
          </w:p>
          <w:p w14:paraId="5DFB1359">
            <w:pPr>
              <w:spacing w:line="360" w:lineRule="auto"/>
              <w:ind w:firstLine="480" w:firstLineChars="200"/>
              <w:rPr>
                <w:sz w:val="24"/>
              </w:rPr>
            </w:pPr>
            <w:r>
              <w:rPr>
                <w:rFonts w:hint="eastAsia"/>
                <w:sz w:val="24"/>
              </w:rPr>
              <w:t>本项目生产过程主要涉及的环境风险物质废机油和和废润滑油。废机油和废润滑油主要贮存于危废贮存库。</w:t>
            </w:r>
          </w:p>
          <w:p w14:paraId="042226AF">
            <w:pPr>
              <w:spacing w:line="360" w:lineRule="auto"/>
              <w:ind w:firstLine="480" w:firstLineChars="200"/>
              <w:rPr>
                <w:b/>
                <w:bCs/>
                <w:szCs w:val="21"/>
              </w:rPr>
            </w:pPr>
            <w:r>
              <w:rPr>
                <w:rFonts w:hint="eastAsia"/>
                <w:sz w:val="24"/>
              </w:rPr>
              <w:t>根据《建设项目环境风险评价技术导则（HJ169-2018）》，附录B，本项目废机油的最大储存量为0.5t，废润滑油最大储量为0.01t。油类物质的临界量为2500吨，项目主要风险物质情况见表4-15。</w:t>
            </w:r>
          </w:p>
          <w:p w14:paraId="2D32C9E3">
            <w:pPr>
              <w:spacing w:line="360" w:lineRule="auto"/>
              <w:ind w:left="422"/>
              <w:jc w:val="center"/>
              <w:rPr>
                <w:b/>
                <w:bCs/>
                <w:szCs w:val="21"/>
              </w:rPr>
            </w:pPr>
            <w:r>
              <w:rPr>
                <w:b/>
                <w:bCs/>
                <w:szCs w:val="21"/>
              </w:rPr>
              <w:t>表</w:t>
            </w:r>
            <w:r>
              <w:rPr>
                <w:rFonts w:hint="eastAsia"/>
                <w:b/>
                <w:bCs/>
                <w:szCs w:val="21"/>
              </w:rPr>
              <w:t>4-</w:t>
            </w:r>
            <w:r>
              <w:rPr>
                <w:b/>
                <w:bCs/>
                <w:szCs w:val="21"/>
              </w:rPr>
              <w:t>1</w:t>
            </w:r>
            <w:r>
              <w:rPr>
                <w:rFonts w:hint="eastAsia"/>
                <w:b/>
                <w:bCs/>
                <w:szCs w:val="21"/>
              </w:rPr>
              <w:t>5</w:t>
            </w:r>
            <w:r>
              <w:rPr>
                <w:b/>
                <w:bCs/>
                <w:szCs w:val="21"/>
              </w:rPr>
              <w:t xml:space="preserve">  本项目涉及的风险物质一览表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3"/>
              <w:gridCol w:w="951"/>
              <w:gridCol w:w="1224"/>
              <w:gridCol w:w="1895"/>
              <w:gridCol w:w="1370"/>
              <w:gridCol w:w="1771"/>
            </w:tblGrid>
            <w:tr w14:paraId="60724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7" w:type="pct"/>
                  <w:vAlign w:val="center"/>
                </w:tcPr>
                <w:p w14:paraId="1077D9CB">
                  <w:pPr>
                    <w:jc w:val="center"/>
                  </w:pPr>
                  <w:r>
                    <w:t>序号</w:t>
                  </w:r>
                </w:p>
              </w:tc>
              <w:tc>
                <w:tcPr>
                  <w:tcW w:w="603" w:type="pct"/>
                  <w:vAlign w:val="center"/>
                </w:tcPr>
                <w:p w14:paraId="60EAE96E">
                  <w:pPr>
                    <w:jc w:val="center"/>
                  </w:pPr>
                  <w:r>
                    <w:t>名称</w:t>
                  </w:r>
                </w:p>
              </w:tc>
              <w:tc>
                <w:tcPr>
                  <w:tcW w:w="776" w:type="pct"/>
                  <w:vAlign w:val="center"/>
                </w:tcPr>
                <w:p w14:paraId="2F0A1301">
                  <w:pPr>
                    <w:jc w:val="center"/>
                  </w:pPr>
                  <w:r>
                    <w:t>储存方式点</w:t>
                  </w:r>
                </w:p>
              </w:tc>
              <w:tc>
                <w:tcPr>
                  <w:tcW w:w="1202" w:type="pct"/>
                  <w:vAlign w:val="center"/>
                </w:tcPr>
                <w:p w14:paraId="3087D260">
                  <w:pPr>
                    <w:jc w:val="center"/>
                  </w:pPr>
                  <w:r>
                    <w:t>最大储存量（t）</w:t>
                  </w:r>
                </w:p>
              </w:tc>
              <w:tc>
                <w:tcPr>
                  <w:tcW w:w="869" w:type="pct"/>
                  <w:vAlign w:val="center"/>
                </w:tcPr>
                <w:p w14:paraId="659E6B83">
                  <w:pPr>
                    <w:jc w:val="center"/>
                  </w:pPr>
                  <w:r>
                    <w:t>临界量（t）</w:t>
                  </w:r>
                </w:p>
              </w:tc>
              <w:tc>
                <w:tcPr>
                  <w:tcW w:w="1123" w:type="pct"/>
                  <w:vAlign w:val="center"/>
                </w:tcPr>
                <w:p w14:paraId="098F7B1A">
                  <w:pPr>
                    <w:jc w:val="center"/>
                  </w:pPr>
                  <w:r>
                    <w:rPr>
                      <w:rFonts w:hint="eastAsia"/>
                    </w:rPr>
                    <w:t>Q</w:t>
                  </w:r>
                </w:p>
              </w:tc>
            </w:tr>
            <w:tr w14:paraId="25F4D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7" w:type="pct"/>
                  <w:vAlign w:val="center"/>
                </w:tcPr>
                <w:p w14:paraId="1B241B93">
                  <w:pPr>
                    <w:jc w:val="center"/>
                  </w:pPr>
                  <w:r>
                    <w:rPr>
                      <w:rFonts w:hint="eastAsia"/>
                    </w:rPr>
                    <w:t>1</w:t>
                  </w:r>
                </w:p>
              </w:tc>
              <w:tc>
                <w:tcPr>
                  <w:tcW w:w="603" w:type="pct"/>
                  <w:vAlign w:val="center"/>
                </w:tcPr>
                <w:p w14:paraId="53428827">
                  <w:pPr>
                    <w:jc w:val="center"/>
                    <w:rPr>
                      <w:color w:val="000000"/>
                    </w:rPr>
                  </w:pPr>
                  <w:r>
                    <w:rPr>
                      <w:rFonts w:hint="eastAsia"/>
                    </w:rPr>
                    <w:t>废机油</w:t>
                  </w:r>
                </w:p>
              </w:tc>
              <w:tc>
                <w:tcPr>
                  <w:tcW w:w="776" w:type="pct"/>
                  <w:vMerge w:val="restart"/>
                  <w:vAlign w:val="center"/>
                </w:tcPr>
                <w:p w14:paraId="3A6E3163">
                  <w:pPr>
                    <w:jc w:val="center"/>
                    <w:rPr>
                      <w:color w:val="000000"/>
                    </w:rPr>
                  </w:pPr>
                  <w:r>
                    <w:rPr>
                      <w:rFonts w:hint="eastAsia"/>
                    </w:rPr>
                    <w:t>危废贮存库</w:t>
                  </w:r>
                </w:p>
              </w:tc>
              <w:tc>
                <w:tcPr>
                  <w:tcW w:w="1202" w:type="pct"/>
                  <w:vAlign w:val="center"/>
                </w:tcPr>
                <w:p w14:paraId="3069680D">
                  <w:pPr>
                    <w:jc w:val="center"/>
                  </w:pPr>
                  <w:r>
                    <w:t>0.5</w:t>
                  </w:r>
                </w:p>
              </w:tc>
              <w:tc>
                <w:tcPr>
                  <w:tcW w:w="869" w:type="pct"/>
                  <w:vMerge w:val="restart"/>
                  <w:vAlign w:val="center"/>
                </w:tcPr>
                <w:p w14:paraId="56C98054">
                  <w:pPr>
                    <w:jc w:val="center"/>
                  </w:pPr>
                  <w:r>
                    <w:rPr>
                      <w:rFonts w:hint="eastAsia"/>
                    </w:rPr>
                    <w:t>2</w:t>
                  </w:r>
                  <w:r>
                    <w:t>500</w:t>
                  </w:r>
                </w:p>
              </w:tc>
              <w:tc>
                <w:tcPr>
                  <w:tcW w:w="1123" w:type="pct"/>
                  <w:vAlign w:val="center"/>
                </w:tcPr>
                <w:p w14:paraId="0B4D0CE8">
                  <w:pPr>
                    <w:jc w:val="center"/>
                  </w:pPr>
                  <w:r>
                    <w:rPr>
                      <w:rFonts w:hint="eastAsia"/>
                    </w:rPr>
                    <w:t>0</w:t>
                  </w:r>
                  <w:r>
                    <w:t>.0002</w:t>
                  </w:r>
                </w:p>
              </w:tc>
            </w:tr>
            <w:tr w14:paraId="39662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7" w:type="pct"/>
                  <w:vAlign w:val="center"/>
                </w:tcPr>
                <w:p w14:paraId="3C610BAB">
                  <w:pPr>
                    <w:jc w:val="center"/>
                  </w:pPr>
                  <w:r>
                    <w:rPr>
                      <w:rFonts w:hint="eastAsia"/>
                    </w:rPr>
                    <w:t>2</w:t>
                  </w:r>
                </w:p>
              </w:tc>
              <w:tc>
                <w:tcPr>
                  <w:tcW w:w="603" w:type="pct"/>
                  <w:vAlign w:val="center"/>
                </w:tcPr>
                <w:p w14:paraId="720962A1">
                  <w:pPr>
                    <w:jc w:val="center"/>
                  </w:pPr>
                  <w:r>
                    <w:rPr>
                      <w:rFonts w:hint="eastAsia"/>
                    </w:rPr>
                    <w:t>废润滑油</w:t>
                  </w:r>
                </w:p>
              </w:tc>
              <w:tc>
                <w:tcPr>
                  <w:tcW w:w="776" w:type="pct"/>
                  <w:vMerge w:val="continue"/>
                  <w:vAlign w:val="center"/>
                </w:tcPr>
                <w:p w14:paraId="6D19AD93">
                  <w:pPr>
                    <w:jc w:val="center"/>
                  </w:pPr>
                </w:p>
              </w:tc>
              <w:tc>
                <w:tcPr>
                  <w:tcW w:w="1202" w:type="pct"/>
                  <w:vAlign w:val="center"/>
                </w:tcPr>
                <w:p w14:paraId="0D24E09C">
                  <w:pPr>
                    <w:jc w:val="center"/>
                  </w:pPr>
                  <w:r>
                    <w:t>0.01</w:t>
                  </w:r>
                </w:p>
              </w:tc>
              <w:tc>
                <w:tcPr>
                  <w:tcW w:w="869" w:type="pct"/>
                  <w:vMerge w:val="continue"/>
                  <w:vAlign w:val="center"/>
                </w:tcPr>
                <w:p w14:paraId="5AC96C0E">
                  <w:pPr>
                    <w:jc w:val="center"/>
                  </w:pPr>
                </w:p>
              </w:tc>
              <w:tc>
                <w:tcPr>
                  <w:tcW w:w="1123" w:type="pct"/>
                  <w:vAlign w:val="center"/>
                </w:tcPr>
                <w:p w14:paraId="7C433571">
                  <w:pPr>
                    <w:jc w:val="center"/>
                  </w:pPr>
                  <w:r>
                    <w:rPr>
                      <w:rFonts w:hint="eastAsia"/>
                    </w:rPr>
                    <w:t>0</w:t>
                  </w:r>
                  <w:r>
                    <w:t>.000004</w:t>
                  </w:r>
                </w:p>
              </w:tc>
            </w:tr>
            <w:tr w14:paraId="561E9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30" w:type="pct"/>
                  <w:gridSpan w:val="2"/>
                  <w:vAlign w:val="center"/>
                </w:tcPr>
                <w:p w14:paraId="1DFA5A85">
                  <w:pPr>
                    <w:jc w:val="center"/>
                  </w:pPr>
                  <w:r>
                    <w:rPr>
                      <w:rFonts w:hint="eastAsia"/>
                    </w:rPr>
                    <w:t>合计</w:t>
                  </w:r>
                </w:p>
              </w:tc>
              <w:tc>
                <w:tcPr>
                  <w:tcW w:w="3970" w:type="pct"/>
                  <w:gridSpan w:val="4"/>
                  <w:vAlign w:val="center"/>
                </w:tcPr>
                <w:p w14:paraId="286F6FBE">
                  <w:pPr>
                    <w:jc w:val="center"/>
                  </w:pPr>
                  <w:r>
                    <w:t>Q</w:t>
                  </w:r>
                  <w:r>
                    <w:rPr>
                      <w:rFonts w:hint="eastAsia"/>
                    </w:rPr>
                    <w:t>=0</w:t>
                  </w:r>
                  <w:r>
                    <w:t>.000204</w:t>
                  </w:r>
                </w:p>
              </w:tc>
            </w:tr>
          </w:tbl>
          <w:p w14:paraId="6E277F7A">
            <w:pPr>
              <w:spacing w:line="360" w:lineRule="auto"/>
              <w:ind w:firstLine="480" w:firstLineChars="200"/>
              <w:rPr>
                <w:sz w:val="24"/>
              </w:rPr>
            </w:pPr>
            <w:r>
              <w:rPr>
                <w:sz w:val="24"/>
              </w:rPr>
              <w:t>因此，本项目建环境风险潜势为Ⅰ级。评价工作等级为简单分析。</w:t>
            </w:r>
          </w:p>
          <w:p w14:paraId="7C525232">
            <w:pPr>
              <w:spacing w:line="360" w:lineRule="auto"/>
              <w:ind w:firstLine="480" w:firstLineChars="200"/>
              <w:rPr>
                <w:sz w:val="24"/>
              </w:rPr>
            </w:pPr>
            <w:r>
              <w:rPr>
                <w:rFonts w:hint="eastAsia"/>
                <w:sz w:val="24"/>
              </w:rPr>
              <w:t>（2）环境风险识别</w:t>
            </w:r>
          </w:p>
          <w:p w14:paraId="7D283123">
            <w:pPr>
              <w:spacing w:line="360" w:lineRule="auto"/>
              <w:ind w:firstLine="480" w:firstLineChars="200"/>
              <w:rPr>
                <w:sz w:val="24"/>
              </w:rPr>
            </w:pPr>
            <w:r>
              <w:rPr>
                <w:rFonts w:hint="eastAsia"/>
                <w:sz w:val="24"/>
              </w:rPr>
              <w:t>①废机油、废润滑油泄漏事故：</w:t>
            </w:r>
          </w:p>
          <w:p w14:paraId="09F1F7FD">
            <w:pPr>
              <w:spacing w:line="360" w:lineRule="auto"/>
              <w:ind w:firstLine="480" w:firstLineChars="200"/>
              <w:rPr>
                <w:sz w:val="24"/>
              </w:rPr>
            </w:pPr>
            <w:r>
              <w:rPr>
                <w:rFonts w:hint="eastAsia"/>
                <w:sz w:val="24"/>
              </w:rPr>
              <w:t>企业生产过程中涉及的危险品有废机油和废润滑油。储存区管理不当、储存设施泄漏等原因造成废机油和废润滑油泄漏突发环境事件。</w:t>
            </w:r>
          </w:p>
          <w:p w14:paraId="22C36A85">
            <w:pPr>
              <w:spacing w:line="360" w:lineRule="auto"/>
              <w:ind w:firstLine="480" w:firstLineChars="200"/>
              <w:rPr>
                <w:sz w:val="24"/>
              </w:rPr>
            </w:pPr>
            <w:r>
              <w:rPr>
                <w:rFonts w:hint="eastAsia"/>
                <w:sz w:val="24"/>
              </w:rPr>
              <w:t>企业在生产运营的过程中废机油和废润滑油一旦发生泄漏，不仅会造成场地内人员伤亡和设备设施的毁坏，而且会严重威胁周围的环境。</w:t>
            </w:r>
          </w:p>
          <w:p w14:paraId="3DDA4057">
            <w:pPr>
              <w:spacing w:line="360" w:lineRule="auto"/>
              <w:ind w:firstLine="480" w:firstLineChars="200"/>
              <w:rPr>
                <w:sz w:val="24"/>
              </w:rPr>
            </w:pPr>
            <w:r>
              <w:rPr>
                <w:rFonts w:hint="eastAsia"/>
                <w:sz w:val="24"/>
              </w:rPr>
              <w:t>②火灾爆炸引发的次生环境污染事故</w:t>
            </w:r>
          </w:p>
          <w:p w14:paraId="78E32324">
            <w:pPr>
              <w:spacing w:line="360" w:lineRule="auto"/>
              <w:ind w:firstLine="480" w:firstLineChars="200"/>
              <w:rPr>
                <w:sz w:val="24"/>
              </w:rPr>
            </w:pPr>
            <w:r>
              <w:rPr>
                <w:rFonts w:hint="eastAsia"/>
                <w:sz w:val="24"/>
              </w:rPr>
              <w:t>由于废机油具有易燃易爆的危险特性，决定了本企业的危废贮存库是火灾爆炸事故的危险源，如果在该区域有火源存在，就可能造成火灾爆炸事故的发生；此外，电路老化、粉尘浓度达到限值等也会引起火灾、爆炸等安全事故。火灾爆炸事故一旦发生，产生的二氧化碳、一氧化碳等污染物会对大气环境造成较大影响，火灾爆炸事故还有可能破坏地面防渗层，导致废机油和废润滑油泄漏等事故的发生，从而造成二次污染。</w:t>
            </w:r>
          </w:p>
          <w:p w14:paraId="3CC81E9B">
            <w:pPr>
              <w:spacing w:line="360" w:lineRule="auto"/>
              <w:ind w:firstLine="480" w:firstLineChars="200"/>
              <w:rPr>
                <w:b/>
                <w:bCs/>
                <w:szCs w:val="21"/>
              </w:rPr>
            </w:pPr>
            <w:r>
              <w:rPr>
                <w:rFonts w:hint="eastAsia"/>
                <w:sz w:val="24"/>
              </w:rPr>
              <w:t>本项目风险识别结果见表4-16。</w:t>
            </w:r>
          </w:p>
          <w:p w14:paraId="644AE3F8">
            <w:pPr>
              <w:spacing w:line="360" w:lineRule="auto"/>
              <w:jc w:val="center"/>
              <w:rPr>
                <w:b/>
                <w:bCs/>
                <w:szCs w:val="21"/>
              </w:rPr>
            </w:pPr>
            <w:r>
              <w:rPr>
                <w:rFonts w:hint="eastAsia"/>
                <w:b/>
                <w:bCs/>
                <w:szCs w:val="21"/>
              </w:rPr>
              <w:t>表4</w:t>
            </w:r>
            <w:r>
              <w:rPr>
                <w:b/>
                <w:bCs/>
                <w:szCs w:val="21"/>
              </w:rPr>
              <w:t>-1</w:t>
            </w:r>
            <w:r>
              <w:rPr>
                <w:rFonts w:hint="eastAsia"/>
                <w:b/>
                <w:bCs/>
                <w:szCs w:val="21"/>
              </w:rPr>
              <w:t>6</w:t>
            </w:r>
            <w:r>
              <w:rPr>
                <w:b/>
                <w:bCs/>
                <w:szCs w:val="21"/>
              </w:rPr>
              <w:t xml:space="preserve">  </w:t>
            </w:r>
            <w:r>
              <w:rPr>
                <w:rFonts w:hint="eastAsia"/>
                <w:b/>
                <w:bCs/>
                <w:szCs w:val="21"/>
              </w:rPr>
              <w:t>项目环境风险识别</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2"/>
              <w:gridCol w:w="1088"/>
              <w:gridCol w:w="1067"/>
              <w:gridCol w:w="1527"/>
              <w:gridCol w:w="1527"/>
              <w:gridCol w:w="1993"/>
            </w:tblGrid>
            <w:tr w14:paraId="16287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692" w:type="dxa"/>
                  <w:vAlign w:val="center"/>
                </w:tcPr>
                <w:p w14:paraId="28187BC2">
                  <w:pPr>
                    <w:jc w:val="center"/>
                    <w:rPr>
                      <w:szCs w:val="21"/>
                    </w:rPr>
                  </w:pPr>
                  <w:r>
                    <w:rPr>
                      <w:rFonts w:hint="eastAsia"/>
                      <w:szCs w:val="21"/>
                    </w:rPr>
                    <w:t>序号</w:t>
                  </w:r>
                </w:p>
              </w:tc>
              <w:tc>
                <w:tcPr>
                  <w:tcW w:w="1112" w:type="dxa"/>
                  <w:vAlign w:val="center"/>
                </w:tcPr>
                <w:p w14:paraId="4E509313">
                  <w:pPr>
                    <w:jc w:val="center"/>
                    <w:rPr>
                      <w:szCs w:val="21"/>
                    </w:rPr>
                  </w:pPr>
                  <w:r>
                    <w:rPr>
                      <w:rFonts w:hint="eastAsia"/>
                      <w:szCs w:val="21"/>
                    </w:rPr>
                    <w:t>危险单元</w:t>
                  </w:r>
                </w:p>
              </w:tc>
              <w:tc>
                <w:tcPr>
                  <w:tcW w:w="1090" w:type="dxa"/>
                  <w:vAlign w:val="center"/>
                </w:tcPr>
                <w:p w14:paraId="04271254">
                  <w:pPr>
                    <w:jc w:val="center"/>
                    <w:rPr>
                      <w:szCs w:val="21"/>
                    </w:rPr>
                  </w:pPr>
                  <w:r>
                    <w:rPr>
                      <w:rFonts w:hint="eastAsia"/>
                      <w:szCs w:val="21"/>
                    </w:rPr>
                    <w:t>风险源</w:t>
                  </w:r>
                </w:p>
              </w:tc>
              <w:tc>
                <w:tcPr>
                  <w:tcW w:w="1559" w:type="dxa"/>
                  <w:vAlign w:val="center"/>
                </w:tcPr>
                <w:p w14:paraId="69F6CC7F">
                  <w:pPr>
                    <w:jc w:val="center"/>
                    <w:rPr>
                      <w:szCs w:val="21"/>
                    </w:rPr>
                  </w:pPr>
                  <w:r>
                    <w:rPr>
                      <w:rFonts w:hint="eastAsia"/>
                      <w:szCs w:val="21"/>
                    </w:rPr>
                    <w:t>主要危险物质</w:t>
                  </w:r>
                </w:p>
              </w:tc>
              <w:tc>
                <w:tcPr>
                  <w:tcW w:w="1559" w:type="dxa"/>
                  <w:vAlign w:val="center"/>
                </w:tcPr>
                <w:p w14:paraId="3C1015E1">
                  <w:pPr>
                    <w:jc w:val="center"/>
                    <w:rPr>
                      <w:szCs w:val="21"/>
                    </w:rPr>
                  </w:pPr>
                  <w:r>
                    <w:rPr>
                      <w:rFonts w:hint="eastAsia"/>
                      <w:szCs w:val="21"/>
                    </w:rPr>
                    <w:t>环境风险类型</w:t>
                  </w:r>
                </w:p>
              </w:tc>
              <w:tc>
                <w:tcPr>
                  <w:tcW w:w="2042" w:type="dxa"/>
                  <w:vAlign w:val="center"/>
                </w:tcPr>
                <w:p w14:paraId="5024283D">
                  <w:pPr>
                    <w:jc w:val="center"/>
                    <w:rPr>
                      <w:szCs w:val="21"/>
                    </w:rPr>
                  </w:pPr>
                  <w:r>
                    <w:rPr>
                      <w:rFonts w:hint="eastAsia"/>
                      <w:szCs w:val="21"/>
                    </w:rPr>
                    <w:t>环境影响途径</w:t>
                  </w:r>
                </w:p>
              </w:tc>
            </w:tr>
            <w:tr w14:paraId="49B08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692" w:type="dxa"/>
                  <w:vAlign w:val="center"/>
                </w:tcPr>
                <w:p w14:paraId="2A0E722B">
                  <w:pPr>
                    <w:jc w:val="center"/>
                    <w:rPr>
                      <w:szCs w:val="21"/>
                    </w:rPr>
                  </w:pPr>
                  <w:r>
                    <w:rPr>
                      <w:rFonts w:hint="eastAsia"/>
                      <w:szCs w:val="21"/>
                    </w:rPr>
                    <w:t>1</w:t>
                  </w:r>
                </w:p>
              </w:tc>
              <w:tc>
                <w:tcPr>
                  <w:tcW w:w="1112" w:type="dxa"/>
                  <w:vAlign w:val="center"/>
                </w:tcPr>
                <w:p w14:paraId="073E9C83">
                  <w:pPr>
                    <w:jc w:val="center"/>
                    <w:rPr>
                      <w:szCs w:val="21"/>
                    </w:rPr>
                  </w:pPr>
                  <w:r>
                    <w:rPr>
                      <w:rFonts w:hint="eastAsia"/>
                      <w:szCs w:val="21"/>
                    </w:rPr>
                    <w:t>危废</w:t>
                  </w:r>
                </w:p>
                <w:p w14:paraId="08070C9C">
                  <w:pPr>
                    <w:jc w:val="center"/>
                    <w:rPr>
                      <w:szCs w:val="21"/>
                    </w:rPr>
                  </w:pPr>
                  <w:r>
                    <w:rPr>
                      <w:rFonts w:hint="eastAsia"/>
                      <w:szCs w:val="21"/>
                    </w:rPr>
                    <w:t>贮存库</w:t>
                  </w:r>
                </w:p>
              </w:tc>
              <w:tc>
                <w:tcPr>
                  <w:tcW w:w="1090" w:type="dxa"/>
                  <w:vAlign w:val="center"/>
                </w:tcPr>
                <w:p w14:paraId="117B66EF">
                  <w:pPr>
                    <w:jc w:val="center"/>
                    <w:rPr>
                      <w:szCs w:val="21"/>
                    </w:rPr>
                  </w:pPr>
                  <w:r>
                    <w:rPr>
                      <w:rFonts w:hint="eastAsia"/>
                      <w:szCs w:val="21"/>
                    </w:rPr>
                    <w:t>废油</w:t>
                  </w:r>
                </w:p>
                <w:p w14:paraId="4628A362">
                  <w:pPr>
                    <w:jc w:val="center"/>
                    <w:rPr>
                      <w:szCs w:val="21"/>
                    </w:rPr>
                  </w:pPr>
                  <w:r>
                    <w:rPr>
                      <w:rFonts w:hint="eastAsia"/>
                      <w:szCs w:val="21"/>
                    </w:rPr>
                    <w:t>储罐</w:t>
                  </w:r>
                </w:p>
              </w:tc>
              <w:tc>
                <w:tcPr>
                  <w:tcW w:w="1559" w:type="dxa"/>
                  <w:vAlign w:val="center"/>
                </w:tcPr>
                <w:p w14:paraId="2010C829">
                  <w:pPr>
                    <w:jc w:val="center"/>
                    <w:rPr>
                      <w:szCs w:val="21"/>
                    </w:rPr>
                  </w:pPr>
                  <w:r>
                    <w:rPr>
                      <w:rFonts w:hint="eastAsia"/>
                      <w:szCs w:val="21"/>
                    </w:rPr>
                    <w:t>废机油、废润滑油</w:t>
                  </w:r>
                </w:p>
              </w:tc>
              <w:tc>
                <w:tcPr>
                  <w:tcW w:w="1559" w:type="dxa"/>
                  <w:vAlign w:val="center"/>
                </w:tcPr>
                <w:p w14:paraId="3EDB9367">
                  <w:pPr>
                    <w:jc w:val="center"/>
                    <w:rPr>
                      <w:szCs w:val="21"/>
                    </w:rPr>
                  </w:pPr>
                  <w:r>
                    <w:rPr>
                      <w:rFonts w:hint="eastAsia"/>
                      <w:szCs w:val="21"/>
                    </w:rPr>
                    <w:t>泄漏、火灾</w:t>
                  </w:r>
                </w:p>
              </w:tc>
              <w:tc>
                <w:tcPr>
                  <w:tcW w:w="2042" w:type="dxa"/>
                  <w:vAlign w:val="center"/>
                </w:tcPr>
                <w:p w14:paraId="08B2AD57">
                  <w:pPr>
                    <w:jc w:val="center"/>
                    <w:rPr>
                      <w:szCs w:val="21"/>
                    </w:rPr>
                  </w:pPr>
                  <w:r>
                    <w:rPr>
                      <w:rFonts w:hint="eastAsia"/>
                      <w:szCs w:val="21"/>
                    </w:rPr>
                    <w:t>空气、地表水径流、下渗、地下水</w:t>
                  </w:r>
                </w:p>
              </w:tc>
            </w:tr>
          </w:tbl>
          <w:p w14:paraId="14C588F6">
            <w:pPr>
              <w:spacing w:line="360" w:lineRule="auto"/>
              <w:ind w:firstLine="480" w:firstLineChars="200"/>
              <w:rPr>
                <w:sz w:val="24"/>
              </w:rPr>
            </w:pPr>
            <w:r>
              <w:rPr>
                <w:rFonts w:hint="eastAsia"/>
                <w:sz w:val="24"/>
              </w:rPr>
              <w:t>（</w:t>
            </w:r>
            <w:r>
              <w:rPr>
                <w:sz w:val="24"/>
              </w:rPr>
              <w:t>3</w:t>
            </w:r>
            <w:r>
              <w:rPr>
                <w:rFonts w:hint="eastAsia"/>
                <w:sz w:val="24"/>
              </w:rPr>
              <w:t>）环境风险防范及应急措施</w:t>
            </w:r>
          </w:p>
          <w:p w14:paraId="792404FA">
            <w:pPr>
              <w:spacing w:line="360" w:lineRule="auto"/>
              <w:ind w:firstLine="480" w:firstLineChars="200"/>
              <w:rPr>
                <w:sz w:val="24"/>
              </w:rPr>
            </w:pPr>
            <w:r>
              <w:rPr>
                <w:rFonts w:hint="eastAsia"/>
                <w:sz w:val="24"/>
              </w:rPr>
              <w:t>废机油、废润滑油泄漏风险防范措施及应急要求：</w:t>
            </w:r>
          </w:p>
          <w:p w14:paraId="75DFF330">
            <w:pPr>
              <w:spacing w:line="360" w:lineRule="auto"/>
              <w:ind w:firstLine="480" w:firstLineChars="200"/>
              <w:rPr>
                <w:sz w:val="24"/>
              </w:rPr>
            </w:pPr>
            <w:r>
              <w:rPr>
                <w:rFonts w:hint="eastAsia"/>
                <w:sz w:val="24"/>
              </w:rPr>
              <w:t>①危废贮存库地面及裙脚采取重点防渗措施渗透系数</w:t>
            </w:r>
            <w:r>
              <w:rPr>
                <w:sz w:val="24"/>
              </w:rPr>
              <w:t>K≤10</w:t>
            </w:r>
            <w:r>
              <w:rPr>
                <w:sz w:val="24"/>
                <w:vertAlign w:val="superscript"/>
              </w:rPr>
              <w:t>-10</w:t>
            </w:r>
            <w:r>
              <w:rPr>
                <w:sz w:val="24"/>
              </w:rPr>
              <w:t>cm/s</w:t>
            </w:r>
            <w:r>
              <w:rPr>
                <w:rFonts w:hint="eastAsia"/>
                <w:sz w:val="24"/>
              </w:rPr>
              <w:t>。</w:t>
            </w:r>
          </w:p>
          <w:p w14:paraId="2B8168C2">
            <w:pPr>
              <w:spacing w:line="360" w:lineRule="auto"/>
              <w:ind w:firstLine="480" w:firstLineChars="200"/>
              <w:rPr>
                <w:sz w:val="24"/>
              </w:rPr>
            </w:pPr>
            <w:r>
              <w:rPr>
                <w:rFonts w:hint="eastAsia"/>
                <w:sz w:val="24"/>
              </w:rPr>
              <w:t>②贮存库四周设导流槽，导流槽终端设置收集池，收集池须满足能全部容纳废油泄漏量，并设置应急空油桶。</w:t>
            </w:r>
          </w:p>
          <w:p w14:paraId="1E9C98BF">
            <w:pPr>
              <w:spacing w:line="360" w:lineRule="auto"/>
              <w:ind w:firstLine="480" w:firstLineChars="200"/>
              <w:rPr>
                <w:sz w:val="24"/>
              </w:rPr>
            </w:pPr>
            <w:r>
              <w:rPr>
                <w:rFonts w:hint="eastAsia"/>
                <w:sz w:val="24"/>
              </w:rPr>
              <w:t>③如遇小量泄漏时应用活性炭或沙土吸收。</w:t>
            </w:r>
          </w:p>
          <w:p w14:paraId="789C88B0">
            <w:pPr>
              <w:spacing w:line="360" w:lineRule="auto"/>
              <w:ind w:firstLine="480" w:firstLineChars="200"/>
              <w:rPr>
                <w:sz w:val="24"/>
              </w:rPr>
            </w:pPr>
            <w:r>
              <w:rPr>
                <w:rFonts w:hint="eastAsia"/>
                <w:sz w:val="24"/>
              </w:rPr>
              <w:t>④如大量泄漏时应及时用应急空油桶收集，避免四处溢流，及时清理导流槽和收集池内的泄露物质。</w:t>
            </w:r>
          </w:p>
          <w:p w14:paraId="2834B5B6">
            <w:pPr>
              <w:spacing w:line="360" w:lineRule="auto"/>
              <w:ind w:firstLine="480" w:firstLineChars="200"/>
              <w:rPr>
                <w:sz w:val="24"/>
              </w:rPr>
            </w:pPr>
            <w:r>
              <w:rPr>
                <w:rFonts w:hint="eastAsia"/>
                <w:sz w:val="24"/>
              </w:rPr>
              <w:t xml:space="preserve">废机油引发的火灾风险防范措施及应急要求： </w:t>
            </w:r>
          </w:p>
          <w:p w14:paraId="092BBEA5">
            <w:pPr>
              <w:spacing w:line="360" w:lineRule="auto"/>
              <w:ind w:firstLine="480" w:firstLineChars="200"/>
              <w:rPr>
                <w:sz w:val="24"/>
              </w:rPr>
            </w:pPr>
            <w:r>
              <w:rPr>
                <w:rFonts w:hint="eastAsia"/>
                <w:sz w:val="24"/>
              </w:rPr>
              <w:t xml:space="preserve">①危废贮存库严禁烟火，安全用电杜绝明火产生，使用时做好隔离措施并远离引燃源，并配备灭火器等消防器材。 </w:t>
            </w:r>
          </w:p>
          <w:p w14:paraId="6E3D63E8">
            <w:pPr>
              <w:spacing w:line="360" w:lineRule="auto"/>
              <w:ind w:firstLine="480" w:firstLineChars="200"/>
              <w:rPr>
                <w:sz w:val="24"/>
              </w:rPr>
            </w:pPr>
            <w:r>
              <w:rPr>
                <w:rFonts w:hint="eastAsia"/>
                <w:sz w:val="24"/>
              </w:rPr>
              <w:t xml:space="preserve">②配备足够二氧化碳灭火器、干粉灭火器及干沙等消防设备，建筑物内设置手提灭火器作为扑救初起火灾的重要消防器材，手提式灭火器设置在灭火器箱内，并定期检查，设置禁烟火标示牌，贮存库周围设置环形的消防通道，消防通道需畅通。 </w:t>
            </w:r>
          </w:p>
          <w:p w14:paraId="442E9C50">
            <w:pPr>
              <w:spacing w:line="360" w:lineRule="auto"/>
              <w:ind w:firstLine="480" w:firstLineChars="200"/>
              <w:rPr>
                <w:sz w:val="24"/>
              </w:rPr>
            </w:pPr>
            <w:r>
              <w:rPr>
                <w:rFonts w:hint="eastAsia"/>
                <w:sz w:val="24"/>
              </w:rPr>
              <w:t xml:space="preserve">③严禁火源进入危废贮存库，对明火严格控制；对设备维修检查，需进行维修焊接，应经安全部门确认、准许，并有记录在案；机动车在厂内行驶，须安装阻火器，必要设备安装防火、防爆装置。 </w:t>
            </w:r>
          </w:p>
          <w:p w14:paraId="4B2F8B98">
            <w:pPr>
              <w:spacing w:line="360" w:lineRule="auto"/>
              <w:ind w:firstLine="480" w:firstLineChars="200"/>
              <w:rPr>
                <w:sz w:val="24"/>
              </w:rPr>
            </w:pPr>
            <w:r>
              <w:rPr>
                <w:rFonts w:hint="eastAsia"/>
                <w:sz w:val="24"/>
              </w:rPr>
              <w:t>（</w:t>
            </w:r>
            <w:r>
              <w:rPr>
                <w:sz w:val="24"/>
              </w:rPr>
              <w:t>4</w:t>
            </w:r>
            <w:r>
              <w:rPr>
                <w:rFonts w:hint="eastAsia"/>
                <w:sz w:val="24"/>
              </w:rPr>
              <w:t xml:space="preserve">）环境风险影响分析结论 </w:t>
            </w:r>
          </w:p>
          <w:p w14:paraId="7A0B1A96">
            <w:pPr>
              <w:spacing w:line="360" w:lineRule="auto"/>
              <w:ind w:firstLine="480" w:firstLineChars="200"/>
              <w:rPr>
                <w:sz w:val="24"/>
              </w:rPr>
            </w:pPr>
            <w:r>
              <w:rPr>
                <w:rFonts w:hint="eastAsia"/>
                <w:sz w:val="24"/>
              </w:rPr>
              <w:t>本项目涉及的环境风险因素主要为废机油和废润滑油泄漏、火灾风险造成环境污染事故。在工程的设计及生产运行过程中，严格按工程设计、操作规程运行和管理，并认真落实评价提出的各项风险防范措施，可把事故发生的几率降至最低。通过采取各项风险防范及应急救援措施，可降低各种事故发生的概率及对周围环境的影响，环境风险在可接受范围内。</w:t>
            </w:r>
          </w:p>
          <w:p w14:paraId="1707DA91">
            <w:pPr>
              <w:spacing w:line="360" w:lineRule="auto"/>
              <w:rPr>
                <w:b/>
                <w:kern w:val="0"/>
                <w:sz w:val="24"/>
              </w:rPr>
            </w:pPr>
            <w:r>
              <w:rPr>
                <w:b/>
                <w:kern w:val="0"/>
                <w:sz w:val="24"/>
              </w:rPr>
              <w:t>4.2.7</w:t>
            </w:r>
            <w:r>
              <w:rPr>
                <w:rFonts w:hint="eastAsia"/>
                <w:b/>
                <w:kern w:val="0"/>
                <w:sz w:val="24"/>
              </w:rPr>
              <w:t>生态环境影响分析</w:t>
            </w:r>
          </w:p>
          <w:p w14:paraId="235899B6">
            <w:pPr>
              <w:spacing w:line="360" w:lineRule="auto"/>
              <w:ind w:firstLine="480" w:firstLineChars="200"/>
              <w:rPr>
                <w:bCs/>
                <w:kern w:val="0"/>
                <w:sz w:val="24"/>
              </w:rPr>
            </w:pPr>
            <w:r>
              <w:rPr>
                <w:rFonts w:hint="eastAsia"/>
                <w:bCs/>
                <w:kern w:val="0"/>
                <w:sz w:val="24"/>
              </w:rPr>
              <w:t xml:space="preserve">（1）对土壤生态的影响分析 </w:t>
            </w:r>
          </w:p>
          <w:p w14:paraId="190D94F7">
            <w:pPr>
              <w:spacing w:line="360" w:lineRule="auto"/>
              <w:ind w:firstLine="480" w:firstLineChars="200"/>
              <w:rPr>
                <w:bCs/>
                <w:kern w:val="0"/>
                <w:sz w:val="24"/>
              </w:rPr>
            </w:pPr>
            <w:r>
              <w:rPr>
                <w:rFonts w:hint="eastAsia"/>
                <w:bCs/>
                <w:kern w:val="0"/>
                <w:sz w:val="24"/>
              </w:rPr>
              <w:t>本项目运营期厂区除绿化区域外所有裸露地面硬化。另外对一些重点设备、设施等附近更要按照防渗要求做好防渗处理。在采取以上措施后对土壤环境的影响较小。</w:t>
            </w:r>
          </w:p>
          <w:p w14:paraId="391883E6">
            <w:pPr>
              <w:spacing w:line="360" w:lineRule="auto"/>
              <w:ind w:firstLine="480" w:firstLineChars="200"/>
              <w:rPr>
                <w:bCs/>
                <w:kern w:val="0"/>
                <w:sz w:val="24"/>
              </w:rPr>
            </w:pPr>
            <w:r>
              <w:rPr>
                <w:rFonts w:hint="eastAsia"/>
                <w:bCs/>
                <w:kern w:val="0"/>
                <w:sz w:val="24"/>
              </w:rPr>
              <w:t>（2）对植物和农作物的影响分析</w:t>
            </w:r>
          </w:p>
          <w:p w14:paraId="7C88E2EC">
            <w:pPr>
              <w:spacing w:line="360" w:lineRule="auto"/>
              <w:ind w:firstLine="480" w:firstLineChars="200"/>
              <w:rPr>
                <w:bCs/>
                <w:kern w:val="0"/>
                <w:sz w:val="24"/>
              </w:rPr>
            </w:pPr>
            <w:r>
              <w:rPr>
                <w:rFonts w:hint="eastAsia"/>
                <w:bCs/>
                <w:kern w:val="0"/>
                <w:sz w:val="24"/>
              </w:rPr>
              <w:t xml:space="preserve">项目建成后运营期间项目周边的生态环境会受人为活动的影响导致原有生态环境结构发生一定调整，厂区使陆生动物的栖息地环境破坏，污染物排放的影响均会对动、植物造成有害影响。但区域总体上的植被、植物种类和群落分布以及动物区系的基本组成和性质不会发生大的变化。 </w:t>
            </w:r>
          </w:p>
          <w:p w14:paraId="2A7665CE">
            <w:pPr>
              <w:spacing w:line="360" w:lineRule="auto"/>
              <w:ind w:firstLine="480" w:firstLineChars="200"/>
              <w:rPr>
                <w:bCs/>
                <w:kern w:val="0"/>
                <w:sz w:val="24"/>
              </w:rPr>
            </w:pPr>
            <w:r>
              <w:rPr>
                <w:rFonts w:hint="eastAsia"/>
                <w:bCs/>
                <w:kern w:val="0"/>
                <w:sz w:val="24"/>
              </w:rPr>
              <w:t>①项目周边主要生态影响过去、现在和将来都将以人为控制为主。自然植被、村庄、乡镇企业、农田、经济林等景观格局不会产生明显的变化；</w:t>
            </w:r>
          </w:p>
          <w:p w14:paraId="1B2C633C">
            <w:pPr>
              <w:spacing w:line="360" w:lineRule="auto"/>
              <w:ind w:firstLine="480" w:firstLineChars="200"/>
              <w:rPr>
                <w:bCs/>
                <w:kern w:val="0"/>
                <w:sz w:val="24"/>
              </w:rPr>
            </w:pPr>
            <w:r>
              <w:rPr>
                <w:rFonts w:hint="eastAsia"/>
                <w:bCs/>
                <w:kern w:val="0"/>
                <w:sz w:val="24"/>
              </w:rPr>
              <w:t>②根据大气环境影响分析结果，本工程大气污染物排放浓度值小于标准值，表明在正常工况条件下不会对周围生态环境产生影响；</w:t>
            </w:r>
          </w:p>
          <w:p w14:paraId="10E7AEA5">
            <w:pPr>
              <w:spacing w:line="360" w:lineRule="auto"/>
              <w:ind w:firstLine="480" w:firstLineChars="200"/>
              <w:rPr>
                <w:bCs/>
                <w:kern w:val="0"/>
                <w:sz w:val="24"/>
              </w:rPr>
            </w:pPr>
            <w:r>
              <w:rPr>
                <w:rFonts w:hint="eastAsia"/>
                <w:bCs/>
                <w:kern w:val="0"/>
                <w:sz w:val="24"/>
              </w:rPr>
              <w:t>③本项目无工艺生产废水，洗车废水和初期雨水全部资源化利用，无废水外排，厂区不设废水排放口，项目不会对区域地表水环境产生明显影响。</w:t>
            </w:r>
          </w:p>
          <w:p w14:paraId="2323AC1C">
            <w:pPr>
              <w:spacing w:line="360" w:lineRule="auto"/>
              <w:ind w:firstLine="480" w:firstLineChars="200"/>
              <w:rPr>
                <w:bCs/>
                <w:kern w:val="0"/>
                <w:sz w:val="24"/>
              </w:rPr>
            </w:pPr>
            <w:r>
              <w:rPr>
                <w:rFonts w:hint="eastAsia"/>
                <w:bCs/>
                <w:kern w:val="0"/>
                <w:sz w:val="24"/>
              </w:rPr>
              <w:t>（3）生态环境影响防护</w:t>
            </w:r>
          </w:p>
          <w:p w14:paraId="2A8E828B">
            <w:pPr>
              <w:spacing w:line="360" w:lineRule="auto"/>
              <w:ind w:firstLine="480" w:firstLineChars="200"/>
              <w:rPr>
                <w:bCs/>
                <w:kern w:val="0"/>
                <w:sz w:val="24"/>
              </w:rPr>
            </w:pPr>
            <w:r>
              <w:rPr>
                <w:rFonts w:hint="eastAsia"/>
                <w:bCs/>
                <w:kern w:val="0"/>
                <w:sz w:val="24"/>
              </w:rPr>
              <w:t>①严格落实各污染环节的防治措施，定期对环保设施进行检修，确保其稳定正常运行，使处理效果达到工程设计要求，从源头上最大限度地减少废气、废水、噪声及固体废物向环境的排放，降低对周围生态环境的影响；</w:t>
            </w:r>
          </w:p>
          <w:p w14:paraId="3832D634">
            <w:pPr>
              <w:spacing w:line="360" w:lineRule="auto"/>
              <w:ind w:firstLine="480" w:firstLineChars="200"/>
              <w:rPr>
                <w:bCs/>
                <w:kern w:val="0"/>
                <w:sz w:val="24"/>
              </w:rPr>
            </w:pPr>
            <w:r>
              <w:rPr>
                <w:rFonts w:hint="eastAsia"/>
                <w:bCs/>
                <w:kern w:val="0"/>
                <w:sz w:val="24"/>
              </w:rPr>
              <w:t>②加强厂区硬化防渗工作，保证工程建成后，除设备占地外及绿化区域外，厂区不存在裸露地坪。厂区内道路及空地采用水泥砼路面固土硬化措施进行处理；硬化的土地在防止污染，控制水土流失，保护厂区地下水、土壤环境、优化劳动条件，提高工作效率等方面起着重要作用；</w:t>
            </w:r>
          </w:p>
          <w:p w14:paraId="11505C37">
            <w:pPr>
              <w:spacing w:line="360" w:lineRule="auto"/>
              <w:ind w:firstLine="480" w:firstLineChars="200"/>
              <w:rPr>
                <w:bCs/>
                <w:kern w:val="0"/>
                <w:sz w:val="24"/>
              </w:rPr>
            </w:pPr>
            <w:r>
              <w:rPr>
                <w:rFonts w:hint="eastAsia"/>
                <w:bCs/>
                <w:kern w:val="0"/>
                <w:sz w:val="24"/>
              </w:rPr>
              <w:t>③随同工程的完善建设，厂内应健全管理体制，加强生态意识教育，以利于生态环境资源的保护；</w:t>
            </w:r>
          </w:p>
          <w:p w14:paraId="52EE5CDB">
            <w:pPr>
              <w:spacing w:line="360" w:lineRule="auto"/>
              <w:ind w:firstLine="480" w:firstLineChars="200"/>
              <w:rPr>
                <w:bCs/>
                <w:kern w:val="0"/>
                <w:sz w:val="24"/>
              </w:rPr>
            </w:pPr>
            <w:r>
              <w:rPr>
                <w:rFonts w:hint="eastAsia"/>
                <w:bCs/>
                <w:kern w:val="0"/>
                <w:sz w:val="24"/>
              </w:rPr>
              <w:t>④运营期的生态问题主要是污染物排放引起的。因此，生态保护问题也就是污染治理问题，完全有效实施各项治理措施可实现生态保护的目的；</w:t>
            </w:r>
          </w:p>
          <w:p w14:paraId="1D6D2436">
            <w:pPr>
              <w:spacing w:line="360" w:lineRule="auto"/>
              <w:ind w:firstLine="480" w:firstLineChars="200"/>
              <w:rPr>
                <w:bCs/>
                <w:kern w:val="0"/>
                <w:sz w:val="24"/>
              </w:rPr>
            </w:pPr>
            <w:r>
              <w:rPr>
                <w:rFonts w:hint="eastAsia"/>
                <w:bCs/>
                <w:kern w:val="0"/>
                <w:sz w:val="24"/>
              </w:rPr>
              <w:t>⑤加强对职工的素质教育，增加清洁生产的自觉性，加强生产过程管理，节能降耗，从源头控制，把污染降低到最低程度；</w:t>
            </w:r>
          </w:p>
          <w:p w14:paraId="7F12FF9C">
            <w:pPr>
              <w:spacing w:line="360" w:lineRule="auto"/>
              <w:ind w:firstLine="480" w:firstLineChars="200"/>
              <w:rPr>
                <w:bCs/>
                <w:kern w:val="0"/>
                <w:sz w:val="24"/>
              </w:rPr>
            </w:pPr>
            <w:r>
              <w:rPr>
                <w:rFonts w:hint="eastAsia"/>
                <w:bCs/>
                <w:kern w:val="0"/>
                <w:sz w:val="24"/>
              </w:rPr>
              <w:t>⑥预防人为因素引起的环境生态破坏，降低环境风险，及时消除隐患。</w:t>
            </w:r>
          </w:p>
          <w:p w14:paraId="16E4F544">
            <w:pPr>
              <w:spacing w:line="360" w:lineRule="auto"/>
              <w:rPr>
                <w:b/>
                <w:kern w:val="0"/>
                <w:sz w:val="24"/>
              </w:rPr>
            </w:pPr>
          </w:p>
          <w:p w14:paraId="68A1F343">
            <w:pPr>
              <w:spacing w:line="360" w:lineRule="auto"/>
              <w:rPr>
                <w:b/>
                <w:kern w:val="0"/>
                <w:sz w:val="24"/>
              </w:rPr>
            </w:pPr>
          </w:p>
          <w:p w14:paraId="27FE4F12">
            <w:pPr>
              <w:spacing w:line="360" w:lineRule="auto"/>
              <w:rPr>
                <w:b/>
                <w:kern w:val="0"/>
                <w:sz w:val="24"/>
              </w:rPr>
            </w:pPr>
          </w:p>
          <w:p w14:paraId="622C376F">
            <w:pPr>
              <w:spacing w:line="360" w:lineRule="auto"/>
              <w:rPr>
                <w:b/>
                <w:kern w:val="0"/>
                <w:sz w:val="24"/>
              </w:rPr>
            </w:pPr>
          </w:p>
          <w:p w14:paraId="55578B9E">
            <w:pPr>
              <w:spacing w:line="360" w:lineRule="auto"/>
              <w:rPr>
                <w:b/>
                <w:kern w:val="0"/>
                <w:sz w:val="24"/>
              </w:rPr>
            </w:pPr>
          </w:p>
          <w:p w14:paraId="1A9414A0">
            <w:pPr>
              <w:spacing w:line="360" w:lineRule="auto"/>
              <w:rPr>
                <w:b/>
                <w:kern w:val="0"/>
                <w:sz w:val="24"/>
              </w:rPr>
            </w:pPr>
          </w:p>
          <w:p w14:paraId="3DE80B00">
            <w:pPr>
              <w:spacing w:line="360" w:lineRule="auto"/>
              <w:rPr>
                <w:b/>
                <w:kern w:val="0"/>
                <w:sz w:val="24"/>
              </w:rPr>
            </w:pPr>
          </w:p>
          <w:p w14:paraId="09FAE6C8">
            <w:pPr>
              <w:spacing w:line="360" w:lineRule="auto"/>
              <w:rPr>
                <w:b/>
                <w:kern w:val="0"/>
                <w:sz w:val="24"/>
              </w:rPr>
            </w:pPr>
          </w:p>
          <w:p w14:paraId="797429B8">
            <w:pPr>
              <w:spacing w:line="360" w:lineRule="auto"/>
              <w:rPr>
                <w:b/>
                <w:kern w:val="0"/>
                <w:sz w:val="24"/>
              </w:rPr>
            </w:pPr>
          </w:p>
          <w:p w14:paraId="78717858">
            <w:pPr>
              <w:spacing w:line="360" w:lineRule="auto"/>
              <w:rPr>
                <w:b/>
                <w:kern w:val="0"/>
                <w:sz w:val="24"/>
              </w:rPr>
            </w:pPr>
          </w:p>
          <w:p w14:paraId="3422B597">
            <w:pPr>
              <w:spacing w:line="360" w:lineRule="auto"/>
              <w:rPr>
                <w:b/>
                <w:kern w:val="0"/>
                <w:sz w:val="24"/>
              </w:rPr>
            </w:pPr>
          </w:p>
          <w:p w14:paraId="329D31CE">
            <w:pPr>
              <w:spacing w:line="360" w:lineRule="auto"/>
              <w:rPr>
                <w:b/>
                <w:kern w:val="0"/>
                <w:sz w:val="24"/>
              </w:rPr>
            </w:pPr>
          </w:p>
          <w:p w14:paraId="538C7E68">
            <w:pPr>
              <w:spacing w:line="360" w:lineRule="auto"/>
              <w:rPr>
                <w:b/>
                <w:kern w:val="0"/>
                <w:sz w:val="24"/>
              </w:rPr>
            </w:pPr>
          </w:p>
          <w:p w14:paraId="4FDA3C10">
            <w:pPr>
              <w:spacing w:line="360" w:lineRule="auto"/>
              <w:rPr>
                <w:b/>
                <w:kern w:val="0"/>
                <w:sz w:val="24"/>
              </w:rPr>
            </w:pPr>
          </w:p>
          <w:p w14:paraId="023F1B51">
            <w:pPr>
              <w:spacing w:line="360" w:lineRule="auto"/>
              <w:rPr>
                <w:b/>
                <w:kern w:val="0"/>
                <w:sz w:val="24"/>
              </w:rPr>
            </w:pPr>
          </w:p>
          <w:p w14:paraId="159E51B2">
            <w:pPr>
              <w:spacing w:line="360" w:lineRule="auto"/>
              <w:rPr>
                <w:b/>
                <w:kern w:val="0"/>
                <w:sz w:val="24"/>
              </w:rPr>
            </w:pPr>
          </w:p>
          <w:p w14:paraId="4A079C4F">
            <w:pPr>
              <w:spacing w:line="360" w:lineRule="auto"/>
              <w:rPr>
                <w:b/>
                <w:kern w:val="0"/>
                <w:sz w:val="24"/>
              </w:rPr>
            </w:pPr>
            <w:r>
              <w:rPr>
                <w:b/>
                <w:kern w:val="0"/>
                <w:sz w:val="24"/>
              </w:rPr>
              <w:t>4.2.8环保措施汇总、环保投资</w:t>
            </w:r>
          </w:p>
          <w:p w14:paraId="21047126">
            <w:pPr>
              <w:adjustRightInd w:val="0"/>
              <w:snapToGrid w:val="0"/>
              <w:spacing w:line="360" w:lineRule="auto"/>
              <w:ind w:firstLine="480" w:firstLineChars="200"/>
              <w:rPr>
                <w:kern w:val="0"/>
                <w:sz w:val="24"/>
              </w:rPr>
            </w:pPr>
            <w:r>
              <w:rPr>
                <w:kern w:val="0"/>
                <w:sz w:val="24"/>
              </w:rPr>
              <w:t>本项目总投资</w:t>
            </w:r>
            <w:r>
              <w:rPr>
                <w:rFonts w:hint="eastAsia"/>
                <w:kern w:val="0"/>
                <w:sz w:val="24"/>
              </w:rPr>
              <w:t>303</w:t>
            </w:r>
            <w:r>
              <w:rPr>
                <w:kern w:val="0"/>
                <w:sz w:val="24"/>
              </w:rPr>
              <w:t>万元，环保投资</w:t>
            </w:r>
            <w:r>
              <w:rPr>
                <w:rFonts w:hint="eastAsia"/>
                <w:kern w:val="0"/>
                <w:sz w:val="24"/>
              </w:rPr>
              <w:t>47.8</w:t>
            </w:r>
            <w:r>
              <w:rPr>
                <w:kern w:val="0"/>
                <w:sz w:val="24"/>
              </w:rPr>
              <w:t>万元，占总投资的</w:t>
            </w:r>
            <w:r>
              <w:rPr>
                <w:rFonts w:hint="eastAsia"/>
                <w:kern w:val="0"/>
                <w:sz w:val="24"/>
              </w:rPr>
              <w:t>15.8</w:t>
            </w:r>
            <w:r>
              <w:rPr>
                <w:kern w:val="0"/>
                <w:sz w:val="24"/>
              </w:rPr>
              <w:t>%</w:t>
            </w:r>
            <w:r>
              <w:rPr>
                <w:rFonts w:hint="eastAsia"/>
                <w:kern w:val="0"/>
                <w:sz w:val="24"/>
              </w:rPr>
              <w:t>，各项环保措施从经济角度是可行的</w:t>
            </w:r>
            <w:r>
              <w:rPr>
                <w:kern w:val="0"/>
                <w:sz w:val="24"/>
              </w:rPr>
              <w:t>。</w:t>
            </w:r>
          </w:p>
          <w:p w14:paraId="42757F3E">
            <w:pPr>
              <w:spacing w:line="360" w:lineRule="auto"/>
              <w:jc w:val="center"/>
              <w:rPr>
                <w:b/>
                <w:szCs w:val="21"/>
              </w:rPr>
            </w:pPr>
            <w:r>
              <w:rPr>
                <w:rFonts w:hint="eastAsia"/>
                <w:b/>
                <w:szCs w:val="21"/>
              </w:rPr>
              <w:t>表</w:t>
            </w:r>
            <w:r>
              <w:rPr>
                <w:b/>
                <w:szCs w:val="21"/>
              </w:rPr>
              <w:t>4</w:t>
            </w:r>
            <w:r>
              <w:rPr>
                <w:rFonts w:hint="eastAsia"/>
                <w:b/>
                <w:szCs w:val="21"/>
              </w:rPr>
              <w:t xml:space="preserve">-17 </w:t>
            </w:r>
            <w:r>
              <w:rPr>
                <w:b/>
                <w:szCs w:val="21"/>
              </w:rPr>
              <w:t xml:space="preserve"> </w:t>
            </w:r>
            <w:r>
              <w:rPr>
                <w:rFonts w:hint="eastAsia"/>
                <w:b/>
                <w:szCs w:val="21"/>
              </w:rPr>
              <w:t>本工程环保投资一览表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5"/>
              <w:gridCol w:w="1009"/>
              <w:gridCol w:w="874"/>
              <w:gridCol w:w="3935"/>
              <w:gridCol w:w="1411"/>
            </w:tblGrid>
            <w:tr w14:paraId="02938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309F4F75">
                  <w:pPr>
                    <w:widowControl/>
                    <w:adjustRightInd w:val="0"/>
                    <w:snapToGrid w:val="0"/>
                    <w:jc w:val="center"/>
                    <w:rPr>
                      <w:kern w:val="0"/>
                      <w:szCs w:val="21"/>
                    </w:rPr>
                  </w:pPr>
                  <w:r>
                    <w:rPr>
                      <w:kern w:val="0"/>
                      <w:szCs w:val="21"/>
                    </w:rPr>
                    <w:t>序号</w:t>
                  </w:r>
                </w:p>
              </w:tc>
              <w:tc>
                <w:tcPr>
                  <w:tcW w:w="981" w:type="dxa"/>
                  <w:vAlign w:val="center"/>
                </w:tcPr>
                <w:p w14:paraId="6AB7FE7D">
                  <w:pPr>
                    <w:widowControl/>
                    <w:adjustRightInd w:val="0"/>
                    <w:snapToGrid w:val="0"/>
                    <w:jc w:val="center"/>
                    <w:rPr>
                      <w:kern w:val="0"/>
                      <w:szCs w:val="21"/>
                    </w:rPr>
                  </w:pPr>
                  <w:r>
                    <w:rPr>
                      <w:kern w:val="0"/>
                      <w:szCs w:val="21"/>
                    </w:rPr>
                    <w:t>项目</w:t>
                  </w:r>
                </w:p>
              </w:tc>
              <w:tc>
                <w:tcPr>
                  <w:tcW w:w="850" w:type="dxa"/>
                  <w:vAlign w:val="center"/>
                </w:tcPr>
                <w:p w14:paraId="2FAAEA16">
                  <w:pPr>
                    <w:widowControl/>
                    <w:adjustRightInd w:val="0"/>
                    <w:snapToGrid w:val="0"/>
                    <w:jc w:val="center"/>
                    <w:rPr>
                      <w:kern w:val="0"/>
                      <w:szCs w:val="21"/>
                    </w:rPr>
                  </w:pPr>
                  <w:r>
                    <w:rPr>
                      <w:kern w:val="0"/>
                      <w:szCs w:val="21"/>
                    </w:rPr>
                    <w:t>污染物</w:t>
                  </w:r>
                </w:p>
              </w:tc>
              <w:tc>
                <w:tcPr>
                  <w:tcW w:w="3826" w:type="dxa"/>
                  <w:vAlign w:val="center"/>
                </w:tcPr>
                <w:p w14:paraId="4AE31E51">
                  <w:pPr>
                    <w:widowControl/>
                    <w:adjustRightInd w:val="0"/>
                    <w:snapToGrid w:val="0"/>
                    <w:jc w:val="center"/>
                    <w:rPr>
                      <w:kern w:val="0"/>
                      <w:szCs w:val="21"/>
                    </w:rPr>
                  </w:pPr>
                  <w:r>
                    <w:rPr>
                      <w:kern w:val="0"/>
                      <w:szCs w:val="21"/>
                    </w:rPr>
                    <w:t>环保工程</w:t>
                  </w:r>
                </w:p>
              </w:tc>
              <w:tc>
                <w:tcPr>
                  <w:tcW w:w="1372" w:type="dxa"/>
                  <w:vAlign w:val="center"/>
                </w:tcPr>
                <w:p w14:paraId="3C71BE33">
                  <w:pPr>
                    <w:widowControl/>
                    <w:adjustRightInd w:val="0"/>
                    <w:snapToGrid w:val="0"/>
                    <w:jc w:val="center"/>
                    <w:rPr>
                      <w:kern w:val="0"/>
                      <w:szCs w:val="21"/>
                    </w:rPr>
                  </w:pPr>
                  <w:r>
                    <w:rPr>
                      <w:kern w:val="0"/>
                      <w:szCs w:val="21"/>
                    </w:rPr>
                    <w:t>投资</w:t>
                  </w:r>
                </w:p>
                <w:p w14:paraId="060ED87B">
                  <w:pPr>
                    <w:widowControl/>
                    <w:adjustRightInd w:val="0"/>
                    <w:snapToGrid w:val="0"/>
                    <w:jc w:val="center"/>
                    <w:rPr>
                      <w:kern w:val="0"/>
                      <w:szCs w:val="21"/>
                    </w:rPr>
                  </w:pPr>
                  <w:r>
                    <w:rPr>
                      <w:rFonts w:hint="eastAsia"/>
                      <w:kern w:val="0"/>
                      <w:szCs w:val="21"/>
                    </w:rPr>
                    <w:t>（</w:t>
                  </w:r>
                  <w:r>
                    <w:rPr>
                      <w:kern w:val="0"/>
                      <w:szCs w:val="21"/>
                    </w:rPr>
                    <w:t>万元</w:t>
                  </w:r>
                  <w:r>
                    <w:rPr>
                      <w:rFonts w:hint="eastAsia"/>
                      <w:kern w:val="0"/>
                      <w:szCs w:val="21"/>
                    </w:rPr>
                    <w:t>）</w:t>
                  </w:r>
                </w:p>
              </w:tc>
            </w:tr>
            <w:tr w14:paraId="364A0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716EA102">
                  <w:pPr>
                    <w:adjustRightInd w:val="0"/>
                    <w:snapToGrid w:val="0"/>
                    <w:jc w:val="center"/>
                    <w:rPr>
                      <w:kern w:val="0"/>
                      <w:szCs w:val="21"/>
                    </w:rPr>
                  </w:pPr>
                  <w:r>
                    <w:rPr>
                      <w:rFonts w:hint="eastAsia"/>
                      <w:kern w:val="0"/>
                      <w:szCs w:val="21"/>
                    </w:rPr>
                    <w:t>1</w:t>
                  </w:r>
                </w:p>
              </w:tc>
              <w:tc>
                <w:tcPr>
                  <w:tcW w:w="981" w:type="dxa"/>
                  <w:vMerge w:val="restart"/>
                  <w:vAlign w:val="center"/>
                </w:tcPr>
                <w:p w14:paraId="3C23AEBC">
                  <w:pPr>
                    <w:snapToGrid w:val="0"/>
                    <w:jc w:val="center"/>
                    <w:rPr>
                      <w:kern w:val="0"/>
                      <w:szCs w:val="21"/>
                    </w:rPr>
                  </w:pPr>
                  <w:r>
                    <w:rPr>
                      <w:rFonts w:hint="eastAsia"/>
                      <w:kern w:val="0"/>
                      <w:szCs w:val="21"/>
                    </w:rPr>
                    <w:t>大气有组织排放</w:t>
                  </w:r>
                </w:p>
              </w:tc>
              <w:tc>
                <w:tcPr>
                  <w:tcW w:w="850" w:type="dxa"/>
                  <w:vAlign w:val="center"/>
                </w:tcPr>
                <w:p w14:paraId="3FF32728">
                  <w:pPr>
                    <w:jc w:val="center"/>
                    <w:rPr>
                      <w:kern w:val="0"/>
                      <w:szCs w:val="21"/>
                    </w:rPr>
                  </w:pPr>
                  <w:r>
                    <w:rPr>
                      <w:rFonts w:hint="eastAsia"/>
                      <w:kern w:val="0"/>
                      <w:szCs w:val="21"/>
                    </w:rPr>
                    <w:t>颗粒物</w:t>
                  </w:r>
                </w:p>
              </w:tc>
              <w:tc>
                <w:tcPr>
                  <w:tcW w:w="3826" w:type="dxa"/>
                  <w:vAlign w:val="center"/>
                </w:tcPr>
                <w:p w14:paraId="6E320098">
                  <w:pPr>
                    <w:snapToGrid w:val="0"/>
                    <w:jc w:val="center"/>
                    <w:textAlignment w:val="baseline"/>
                    <w:rPr>
                      <w:szCs w:val="21"/>
                    </w:rPr>
                  </w:pPr>
                  <w:r>
                    <w:rPr>
                      <w:rFonts w:hint="eastAsia"/>
                      <w:szCs w:val="21"/>
                    </w:rPr>
                    <w:t>砂库出料除尘器</w:t>
                  </w:r>
                </w:p>
              </w:tc>
              <w:tc>
                <w:tcPr>
                  <w:tcW w:w="1372" w:type="dxa"/>
                  <w:vAlign w:val="center"/>
                </w:tcPr>
                <w:p w14:paraId="0F4DC9F9">
                  <w:pPr>
                    <w:adjustRightInd w:val="0"/>
                    <w:snapToGrid w:val="0"/>
                    <w:jc w:val="center"/>
                    <w:rPr>
                      <w:kern w:val="0"/>
                      <w:szCs w:val="21"/>
                    </w:rPr>
                  </w:pPr>
                  <w:r>
                    <w:rPr>
                      <w:rFonts w:hint="eastAsia"/>
                      <w:kern w:val="0"/>
                      <w:szCs w:val="21"/>
                    </w:rPr>
                    <w:t>3</w:t>
                  </w:r>
                </w:p>
              </w:tc>
            </w:tr>
            <w:tr w14:paraId="11059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5111CCD3">
                  <w:pPr>
                    <w:widowControl/>
                    <w:adjustRightInd w:val="0"/>
                    <w:snapToGrid w:val="0"/>
                    <w:jc w:val="center"/>
                    <w:rPr>
                      <w:kern w:val="0"/>
                      <w:szCs w:val="21"/>
                    </w:rPr>
                  </w:pPr>
                  <w:r>
                    <w:rPr>
                      <w:rFonts w:hint="eastAsia"/>
                      <w:kern w:val="0"/>
                      <w:szCs w:val="21"/>
                    </w:rPr>
                    <w:t>2</w:t>
                  </w:r>
                </w:p>
              </w:tc>
              <w:tc>
                <w:tcPr>
                  <w:tcW w:w="981" w:type="dxa"/>
                  <w:vMerge w:val="continue"/>
                  <w:vAlign w:val="center"/>
                </w:tcPr>
                <w:p w14:paraId="32EB917F">
                  <w:pPr>
                    <w:widowControl/>
                    <w:snapToGrid w:val="0"/>
                    <w:jc w:val="center"/>
                    <w:rPr>
                      <w:kern w:val="0"/>
                      <w:szCs w:val="21"/>
                    </w:rPr>
                  </w:pPr>
                </w:p>
              </w:tc>
              <w:tc>
                <w:tcPr>
                  <w:tcW w:w="850" w:type="dxa"/>
                  <w:vAlign w:val="center"/>
                </w:tcPr>
                <w:p w14:paraId="12397C9F">
                  <w:pPr>
                    <w:jc w:val="center"/>
                  </w:pPr>
                  <w:r>
                    <w:rPr>
                      <w:rFonts w:hint="eastAsia"/>
                      <w:kern w:val="0"/>
                      <w:szCs w:val="21"/>
                    </w:rPr>
                    <w:t>颗粒物</w:t>
                  </w:r>
                </w:p>
              </w:tc>
              <w:tc>
                <w:tcPr>
                  <w:tcW w:w="3826" w:type="dxa"/>
                  <w:vAlign w:val="center"/>
                </w:tcPr>
                <w:p w14:paraId="426E9E2D">
                  <w:pPr>
                    <w:snapToGrid w:val="0"/>
                    <w:jc w:val="center"/>
                    <w:textAlignment w:val="baseline"/>
                    <w:rPr>
                      <w:szCs w:val="21"/>
                    </w:rPr>
                  </w:pPr>
                  <w:r>
                    <w:rPr>
                      <w:rFonts w:hint="eastAsia"/>
                      <w:szCs w:val="21"/>
                    </w:rPr>
                    <w:t>主楼除尘器，选用袋式除尘器。</w:t>
                  </w:r>
                </w:p>
              </w:tc>
              <w:tc>
                <w:tcPr>
                  <w:tcW w:w="1372" w:type="dxa"/>
                  <w:vAlign w:val="center"/>
                </w:tcPr>
                <w:p w14:paraId="28B709F4">
                  <w:pPr>
                    <w:widowControl/>
                    <w:adjustRightInd w:val="0"/>
                    <w:snapToGrid w:val="0"/>
                    <w:jc w:val="center"/>
                    <w:rPr>
                      <w:kern w:val="0"/>
                      <w:szCs w:val="21"/>
                    </w:rPr>
                  </w:pPr>
                  <w:r>
                    <w:rPr>
                      <w:rFonts w:hint="eastAsia"/>
                      <w:kern w:val="0"/>
                      <w:szCs w:val="21"/>
                    </w:rPr>
                    <w:t>4</w:t>
                  </w:r>
                </w:p>
              </w:tc>
            </w:tr>
            <w:tr w14:paraId="7A03C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1E2A8166">
                  <w:pPr>
                    <w:widowControl/>
                    <w:adjustRightInd w:val="0"/>
                    <w:snapToGrid w:val="0"/>
                    <w:jc w:val="center"/>
                    <w:rPr>
                      <w:kern w:val="0"/>
                      <w:szCs w:val="21"/>
                    </w:rPr>
                  </w:pPr>
                  <w:r>
                    <w:rPr>
                      <w:rFonts w:hint="eastAsia"/>
                      <w:kern w:val="0"/>
                      <w:szCs w:val="21"/>
                    </w:rPr>
                    <w:t>3</w:t>
                  </w:r>
                </w:p>
              </w:tc>
              <w:tc>
                <w:tcPr>
                  <w:tcW w:w="981" w:type="dxa"/>
                  <w:vMerge w:val="continue"/>
                  <w:vAlign w:val="center"/>
                </w:tcPr>
                <w:p w14:paraId="5FB2E25F">
                  <w:pPr>
                    <w:widowControl/>
                    <w:adjustRightInd w:val="0"/>
                    <w:snapToGrid w:val="0"/>
                    <w:jc w:val="center"/>
                    <w:rPr>
                      <w:kern w:val="0"/>
                      <w:szCs w:val="21"/>
                    </w:rPr>
                  </w:pPr>
                </w:p>
              </w:tc>
              <w:tc>
                <w:tcPr>
                  <w:tcW w:w="850" w:type="dxa"/>
                  <w:vAlign w:val="center"/>
                </w:tcPr>
                <w:p w14:paraId="6CA338D1">
                  <w:pPr>
                    <w:jc w:val="center"/>
                  </w:pPr>
                  <w:r>
                    <w:rPr>
                      <w:rFonts w:hint="eastAsia"/>
                      <w:kern w:val="0"/>
                      <w:szCs w:val="21"/>
                    </w:rPr>
                    <w:t>颗粒物</w:t>
                  </w:r>
                </w:p>
              </w:tc>
              <w:tc>
                <w:tcPr>
                  <w:tcW w:w="3826" w:type="dxa"/>
                  <w:vAlign w:val="center"/>
                </w:tcPr>
                <w:p w14:paraId="4CC78FC1">
                  <w:pPr>
                    <w:snapToGrid w:val="0"/>
                    <w:jc w:val="center"/>
                    <w:textAlignment w:val="baseline"/>
                    <w:rPr>
                      <w:szCs w:val="21"/>
                    </w:rPr>
                  </w:pPr>
                  <w:r>
                    <w:rPr>
                      <w:rFonts w:hint="eastAsia"/>
                      <w:szCs w:val="21"/>
                    </w:rPr>
                    <w:t>包装机除尘器，选用袋式除尘器。</w:t>
                  </w:r>
                </w:p>
              </w:tc>
              <w:tc>
                <w:tcPr>
                  <w:tcW w:w="1372" w:type="dxa"/>
                  <w:vAlign w:val="center"/>
                </w:tcPr>
                <w:p w14:paraId="1EE2B343">
                  <w:pPr>
                    <w:widowControl/>
                    <w:snapToGrid w:val="0"/>
                    <w:jc w:val="center"/>
                    <w:rPr>
                      <w:kern w:val="0"/>
                      <w:szCs w:val="21"/>
                    </w:rPr>
                  </w:pPr>
                  <w:r>
                    <w:rPr>
                      <w:rFonts w:hint="eastAsia"/>
                      <w:kern w:val="0"/>
                      <w:szCs w:val="21"/>
                    </w:rPr>
                    <w:t>5</w:t>
                  </w:r>
                </w:p>
              </w:tc>
            </w:tr>
            <w:tr w14:paraId="1728E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7D8878C2">
                  <w:pPr>
                    <w:widowControl/>
                    <w:adjustRightInd w:val="0"/>
                    <w:snapToGrid w:val="0"/>
                    <w:jc w:val="center"/>
                    <w:rPr>
                      <w:kern w:val="0"/>
                      <w:szCs w:val="21"/>
                    </w:rPr>
                  </w:pPr>
                  <w:r>
                    <w:rPr>
                      <w:rFonts w:hint="eastAsia"/>
                      <w:kern w:val="0"/>
                      <w:szCs w:val="21"/>
                    </w:rPr>
                    <w:t>4</w:t>
                  </w:r>
                </w:p>
              </w:tc>
              <w:tc>
                <w:tcPr>
                  <w:tcW w:w="981" w:type="dxa"/>
                  <w:vMerge w:val="continue"/>
                  <w:vAlign w:val="center"/>
                </w:tcPr>
                <w:p w14:paraId="778DA907">
                  <w:pPr>
                    <w:widowControl/>
                    <w:adjustRightInd w:val="0"/>
                    <w:snapToGrid w:val="0"/>
                    <w:jc w:val="center"/>
                    <w:rPr>
                      <w:kern w:val="0"/>
                      <w:szCs w:val="21"/>
                    </w:rPr>
                  </w:pPr>
                </w:p>
              </w:tc>
              <w:tc>
                <w:tcPr>
                  <w:tcW w:w="850" w:type="dxa"/>
                  <w:vAlign w:val="center"/>
                </w:tcPr>
                <w:p w14:paraId="109A69CE">
                  <w:pPr>
                    <w:jc w:val="center"/>
                  </w:pPr>
                  <w:r>
                    <w:rPr>
                      <w:rFonts w:hint="eastAsia"/>
                      <w:kern w:val="0"/>
                      <w:szCs w:val="21"/>
                    </w:rPr>
                    <w:t>颗粒物</w:t>
                  </w:r>
                </w:p>
              </w:tc>
              <w:tc>
                <w:tcPr>
                  <w:tcW w:w="3826" w:type="dxa"/>
                  <w:vAlign w:val="center"/>
                </w:tcPr>
                <w:p w14:paraId="0ED9CBD8">
                  <w:pPr>
                    <w:snapToGrid w:val="0"/>
                    <w:jc w:val="center"/>
                    <w:textAlignment w:val="baseline"/>
                    <w:rPr>
                      <w:szCs w:val="21"/>
                    </w:rPr>
                  </w:pPr>
                  <w:r>
                    <w:rPr>
                      <w:rFonts w:hint="eastAsia"/>
                      <w:szCs w:val="21"/>
                    </w:rPr>
                    <w:t>主楼散装除尘器，选用袋式除尘器。</w:t>
                  </w:r>
                </w:p>
              </w:tc>
              <w:tc>
                <w:tcPr>
                  <w:tcW w:w="1372" w:type="dxa"/>
                  <w:vAlign w:val="center"/>
                </w:tcPr>
                <w:p w14:paraId="546DE64C">
                  <w:pPr>
                    <w:widowControl/>
                    <w:snapToGrid w:val="0"/>
                    <w:jc w:val="center"/>
                    <w:rPr>
                      <w:kern w:val="0"/>
                      <w:szCs w:val="21"/>
                    </w:rPr>
                  </w:pPr>
                  <w:r>
                    <w:rPr>
                      <w:rFonts w:hint="eastAsia"/>
                      <w:kern w:val="0"/>
                      <w:szCs w:val="21"/>
                    </w:rPr>
                    <w:t>1</w:t>
                  </w:r>
                </w:p>
              </w:tc>
            </w:tr>
            <w:tr w14:paraId="7952F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164227B9">
                  <w:pPr>
                    <w:widowControl/>
                    <w:adjustRightInd w:val="0"/>
                    <w:snapToGrid w:val="0"/>
                    <w:jc w:val="center"/>
                    <w:rPr>
                      <w:kern w:val="0"/>
                      <w:szCs w:val="21"/>
                    </w:rPr>
                  </w:pPr>
                  <w:r>
                    <w:rPr>
                      <w:rFonts w:hint="eastAsia"/>
                      <w:kern w:val="0"/>
                      <w:szCs w:val="21"/>
                    </w:rPr>
                    <w:t>5</w:t>
                  </w:r>
                </w:p>
              </w:tc>
              <w:tc>
                <w:tcPr>
                  <w:tcW w:w="981" w:type="dxa"/>
                  <w:vMerge w:val="continue"/>
                  <w:vAlign w:val="center"/>
                </w:tcPr>
                <w:p w14:paraId="02FAAA1F">
                  <w:pPr>
                    <w:widowControl/>
                    <w:adjustRightInd w:val="0"/>
                    <w:snapToGrid w:val="0"/>
                    <w:jc w:val="center"/>
                    <w:rPr>
                      <w:kern w:val="0"/>
                      <w:szCs w:val="21"/>
                    </w:rPr>
                  </w:pPr>
                </w:p>
              </w:tc>
              <w:tc>
                <w:tcPr>
                  <w:tcW w:w="850" w:type="dxa"/>
                  <w:vAlign w:val="center"/>
                </w:tcPr>
                <w:p w14:paraId="655D066E">
                  <w:pPr>
                    <w:jc w:val="center"/>
                  </w:pPr>
                  <w:r>
                    <w:rPr>
                      <w:rFonts w:hint="eastAsia"/>
                      <w:kern w:val="0"/>
                      <w:szCs w:val="21"/>
                    </w:rPr>
                    <w:t>颗粒物</w:t>
                  </w:r>
                </w:p>
              </w:tc>
              <w:tc>
                <w:tcPr>
                  <w:tcW w:w="3826" w:type="dxa"/>
                  <w:vAlign w:val="center"/>
                </w:tcPr>
                <w:p w14:paraId="3CCC9962">
                  <w:pPr>
                    <w:snapToGrid w:val="0"/>
                    <w:jc w:val="center"/>
                    <w:textAlignment w:val="baseline"/>
                    <w:rPr>
                      <w:szCs w:val="21"/>
                    </w:rPr>
                  </w:pPr>
                  <w:r>
                    <w:rPr>
                      <w:rFonts w:hint="eastAsia"/>
                      <w:szCs w:val="21"/>
                    </w:rPr>
                    <w:t>成品仓仓顶除尘器，选用袋式除尘器。</w:t>
                  </w:r>
                </w:p>
              </w:tc>
              <w:tc>
                <w:tcPr>
                  <w:tcW w:w="1372" w:type="dxa"/>
                  <w:vAlign w:val="center"/>
                </w:tcPr>
                <w:p w14:paraId="102512E8">
                  <w:pPr>
                    <w:widowControl/>
                    <w:snapToGrid w:val="0"/>
                    <w:jc w:val="center"/>
                    <w:rPr>
                      <w:kern w:val="0"/>
                      <w:szCs w:val="21"/>
                    </w:rPr>
                  </w:pPr>
                  <w:r>
                    <w:rPr>
                      <w:rFonts w:hint="eastAsia"/>
                      <w:kern w:val="0"/>
                      <w:szCs w:val="21"/>
                    </w:rPr>
                    <w:t>1</w:t>
                  </w:r>
                </w:p>
              </w:tc>
            </w:tr>
            <w:tr w14:paraId="555FA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7F662D6E">
                  <w:pPr>
                    <w:widowControl/>
                    <w:adjustRightInd w:val="0"/>
                    <w:snapToGrid w:val="0"/>
                    <w:jc w:val="center"/>
                    <w:rPr>
                      <w:kern w:val="0"/>
                      <w:szCs w:val="21"/>
                    </w:rPr>
                  </w:pPr>
                  <w:r>
                    <w:rPr>
                      <w:rFonts w:hint="eastAsia"/>
                      <w:kern w:val="0"/>
                      <w:szCs w:val="21"/>
                    </w:rPr>
                    <w:t>6</w:t>
                  </w:r>
                </w:p>
              </w:tc>
              <w:tc>
                <w:tcPr>
                  <w:tcW w:w="981" w:type="dxa"/>
                  <w:vMerge w:val="continue"/>
                  <w:vAlign w:val="center"/>
                </w:tcPr>
                <w:p w14:paraId="0DE9DCA9">
                  <w:pPr>
                    <w:widowControl/>
                    <w:adjustRightInd w:val="0"/>
                    <w:snapToGrid w:val="0"/>
                    <w:jc w:val="center"/>
                    <w:rPr>
                      <w:kern w:val="0"/>
                      <w:szCs w:val="21"/>
                    </w:rPr>
                  </w:pPr>
                </w:p>
              </w:tc>
              <w:tc>
                <w:tcPr>
                  <w:tcW w:w="850" w:type="dxa"/>
                  <w:vAlign w:val="center"/>
                </w:tcPr>
                <w:p w14:paraId="5FC2F112">
                  <w:pPr>
                    <w:jc w:val="center"/>
                  </w:pPr>
                  <w:r>
                    <w:rPr>
                      <w:rFonts w:hint="eastAsia"/>
                      <w:kern w:val="0"/>
                      <w:szCs w:val="21"/>
                    </w:rPr>
                    <w:t>颗粒物</w:t>
                  </w:r>
                </w:p>
              </w:tc>
              <w:tc>
                <w:tcPr>
                  <w:tcW w:w="3826" w:type="dxa"/>
                  <w:vAlign w:val="center"/>
                </w:tcPr>
                <w:p w14:paraId="54A729C9">
                  <w:pPr>
                    <w:snapToGrid w:val="0"/>
                    <w:jc w:val="center"/>
                    <w:textAlignment w:val="baseline"/>
                    <w:rPr>
                      <w:szCs w:val="21"/>
                    </w:rPr>
                  </w:pPr>
                  <w:r>
                    <w:rPr>
                      <w:rFonts w:hint="eastAsia"/>
                      <w:szCs w:val="21"/>
                    </w:rPr>
                    <w:t>成品仓散装除尘器，选用袋式除尘器。</w:t>
                  </w:r>
                </w:p>
              </w:tc>
              <w:tc>
                <w:tcPr>
                  <w:tcW w:w="1372" w:type="dxa"/>
                  <w:vAlign w:val="center"/>
                </w:tcPr>
                <w:p w14:paraId="2BFAF397">
                  <w:pPr>
                    <w:widowControl/>
                    <w:snapToGrid w:val="0"/>
                    <w:jc w:val="center"/>
                    <w:rPr>
                      <w:kern w:val="0"/>
                      <w:szCs w:val="21"/>
                    </w:rPr>
                  </w:pPr>
                  <w:r>
                    <w:rPr>
                      <w:rFonts w:hint="eastAsia"/>
                      <w:kern w:val="0"/>
                      <w:szCs w:val="21"/>
                    </w:rPr>
                    <w:t>1</w:t>
                  </w:r>
                </w:p>
              </w:tc>
            </w:tr>
            <w:tr w14:paraId="11BD2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52801EE6">
                  <w:pPr>
                    <w:widowControl/>
                    <w:adjustRightInd w:val="0"/>
                    <w:snapToGrid w:val="0"/>
                    <w:jc w:val="center"/>
                    <w:rPr>
                      <w:kern w:val="0"/>
                      <w:szCs w:val="21"/>
                    </w:rPr>
                  </w:pPr>
                  <w:r>
                    <w:rPr>
                      <w:rFonts w:hint="eastAsia"/>
                      <w:kern w:val="0"/>
                      <w:szCs w:val="21"/>
                    </w:rPr>
                    <w:t>7</w:t>
                  </w:r>
                </w:p>
              </w:tc>
              <w:tc>
                <w:tcPr>
                  <w:tcW w:w="981" w:type="dxa"/>
                  <w:vMerge w:val="continue"/>
                  <w:vAlign w:val="center"/>
                </w:tcPr>
                <w:p w14:paraId="182E4BB4">
                  <w:pPr>
                    <w:widowControl/>
                    <w:adjustRightInd w:val="0"/>
                    <w:snapToGrid w:val="0"/>
                    <w:jc w:val="center"/>
                    <w:rPr>
                      <w:kern w:val="0"/>
                      <w:szCs w:val="21"/>
                    </w:rPr>
                  </w:pPr>
                </w:p>
              </w:tc>
              <w:tc>
                <w:tcPr>
                  <w:tcW w:w="850" w:type="dxa"/>
                  <w:vAlign w:val="center"/>
                </w:tcPr>
                <w:p w14:paraId="431AEC51">
                  <w:pPr>
                    <w:jc w:val="center"/>
                  </w:pPr>
                  <w:r>
                    <w:rPr>
                      <w:rFonts w:hint="eastAsia"/>
                      <w:kern w:val="0"/>
                      <w:szCs w:val="21"/>
                    </w:rPr>
                    <w:t>颗粒物</w:t>
                  </w:r>
                </w:p>
              </w:tc>
              <w:tc>
                <w:tcPr>
                  <w:tcW w:w="3826" w:type="dxa"/>
                  <w:vAlign w:val="center"/>
                </w:tcPr>
                <w:p w14:paraId="7AE8B48B">
                  <w:pPr>
                    <w:snapToGrid w:val="0"/>
                    <w:jc w:val="center"/>
                    <w:textAlignment w:val="baseline"/>
                    <w:rPr>
                      <w:szCs w:val="21"/>
                    </w:rPr>
                  </w:pPr>
                  <w:r>
                    <w:rPr>
                      <w:rFonts w:hint="eastAsia"/>
                      <w:szCs w:val="21"/>
                    </w:rPr>
                    <w:t>水泥/粉煤灰粉仓仓顶除尘器，选用袋式除尘器，3套。</w:t>
                  </w:r>
                </w:p>
              </w:tc>
              <w:tc>
                <w:tcPr>
                  <w:tcW w:w="1372" w:type="dxa"/>
                  <w:vAlign w:val="center"/>
                </w:tcPr>
                <w:p w14:paraId="4C631F86">
                  <w:pPr>
                    <w:widowControl/>
                    <w:snapToGrid w:val="0"/>
                    <w:jc w:val="center"/>
                    <w:rPr>
                      <w:kern w:val="0"/>
                      <w:szCs w:val="21"/>
                    </w:rPr>
                  </w:pPr>
                  <w:r>
                    <w:rPr>
                      <w:rFonts w:hint="eastAsia"/>
                      <w:kern w:val="0"/>
                      <w:szCs w:val="21"/>
                    </w:rPr>
                    <w:t>3</w:t>
                  </w:r>
                </w:p>
              </w:tc>
            </w:tr>
            <w:tr w14:paraId="3797B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20BD1D07">
                  <w:pPr>
                    <w:widowControl/>
                    <w:adjustRightInd w:val="0"/>
                    <w:snapToGrid w:val="0"/>
                    <w:jc w:val="center"/>
                    <w:rPr>
                      <w:kern w:val="0"/>
                      <w:szCs w:val="21"/>
                    </w:rPr>
                  </w:pPr>
                  <w:r>
                    <w:rPr>
                      <w:rFonts w:hint="eastAsia"/>
                      <w:kern w:val="0"/>
                      <w:szCs w:val="21"/>
                    </w:rPr>
                    <w:t>8</w:t>
                  </w:r>
                </w:p>
              </w:tc>
              <w:tc>
                <w:tcPr>
                  <w:tcW w:w="981" w:type="dxa"/>
                  <w:vAlign w:val="center"/>
                </w:tcPr>
                <w:p w14:paraId="120F54DC">
                  <w:pPr>
                    <w:widowControl/>
                    <w:adjustRightInd w:val="0"/>
                    <w:snapToGrid w:val="0"/>
                    <w:jc w:val="center"/>
                    <w:rPr>
                      <w:kern w:val="0"/>
                      <w:szCs w:val="21"/>
                    </w:rPr>
                  </w:pPr>
                  <w:r>
                    <w:rPr>
                      <w:rFonts w:hint="eastAsia"/>
                      <w:kern w:val="0"/>
                      <w:szCs w:val="21"/>
                    </w:rPr>
                    <w:t>无组织扬尘治理</w:t>
                  </w:r>
                </w:p>
              </w:tc>
              <w:tc>
                <w:tcPr>
                  <w:tcW w:w="850" w:type="dxa"/>
                  <w:vAlign w:val="center"/>
                </w:tcPr>
                <w:p w14:paraId="7137420D">
                  <w:pPr>
                    <w:jc w:val="center"/>
                    <w:rPr>
                      <w:kern w:val="0"/>
                      <w:szCs w:val="21"/>
                    </w:rPr>
                  </w:pPr>
                  <w:r>
                    <w:rPr>
                      <w:rFonts w:hint="eastAsia"/>
                      <w:kern w:val="0"/>
                      <w:szCs w:val="21"/>
                    </w:rPr>
                    <w:t>颗粒物</w:t>
                  </w:r>
                </w:p>
              </w:tc>
              <w:tc>
                <w:tcPr>
                  <w:tcW w:w="3826" w:type="dxa"/>
                  <w:vAlign w:val="center"/>
                </w:tcPr>
                <w:p w14:paraId="6FEDED86">
                  <w:pPr>
                    <w:snapToGrid w:val="0"/>
                    <w:jc w:val="center"/>
                    <w:textAlignment w:val="baseline"/>
                    <w:rPr>
                      <w:szCs w:val="21"/>
                    </w:rPr>
                  </w:pPr>
                  <w:r>
                    <w:rPr>
                      <w:rFonts w:hint="eastAsia"/>
                      <w:szCs w:val="21"/>
                    </w:rPr>
                    <w:t>移动式雾炮机+洒水车</w:t>
                  </w:r>
                </w:p>
              </w:tc>
              <w:tc>
                <w:tcPr>
                  <w:tcW w:w="1372" w:type="dxa"/>
                  <w:vAlign w:val="center"/>
                </w:tcPr>
                <w:p w14:paraId="15BE10D0">
                  <w:pPr>
                    <w:widowControl/>
                    <w:snapToGrid w:val="0"/>
                    <w:jc w:val="center"/>
                    <w:rPr>
                      <w:kern w:val="0"/>
                      <w:szCs w:val="21"/>
                    </w:rPr>
                  </w:pPr>
                  <w:r>
                    <w:rPr>
                      <w:rFonts w:hint="eastAsia"/>
                      <w:kern w:val="0"/>
                      <w:szCs w:val="21"/>
                    </w:rPr>
                    <w:t>5</w:t>
                  </w:r>
                </w:p>
              </w:tc>
            </w:tr>
            <w:tr w14:paraId="2D055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52EECF9D">
                  <w:pPr>
                    <w:widowControl/>
                    <w:adjustRightInd w:val="0"/>
                    <w:snapToGrid w:val="0"/>
                    <w:jc w:val="center"/>
                    <w:rPr>
                      <w:kern w:val="0"/>
                      <w:szCs w:val="21"/>
                    </w:rPr>
                  </w:pPr>
                  <w:r>
                    <w:rPr>
                      <w:rFonts w:hint="eastAsia"/>
                      <w:kern w:val="0"/>
                      <w:szCs w:val="21"/>
                    </w:rPr>
                    <w:t>9</w:t>
                  </w:r>
                </w:p>
              </w:tc>
              <w:tc>
                <w:tcPr>
                  <w:tcW w:w="981" w:type="dxa"/>
                  <w:vAlign w:val="center"/>
                </w:tcPr>
                <w:p w14:paraId="2E9F8C3C">
                  <w:pPr>
                    <w:widowControl/>
                    <w:adjustRightInd w:val="0"/>
                    <w:snapToGrid w:val="0"/>
                    <w:jc w:val="center"/>
                    <w:rPr>
                      <w:kern w:val="0"/>
                      <w:szCs w:val="21"/>
                    </w:rPr>
                  </w:pPr>
                  <w:r>
                    <w:rPr>
                      <w:kern w:val="0"/>
                      <w:szCs w:val="21"/>
                    </w:rPr>
                    <w:t>车辆清洗废水</w:t>
                  </w:r>
                </w:p>
              </w:tc>
              <w:tc>
                <w:tcPr>
                  <w:tcW w:w="850" w:type="dxa"/>
                  <w:vAlign w:val="center"/>
                </w:tcPr>
                <w:p w14:paraId="39D3973D">
                  <w:pPr>
                    <w:widowControl/>
                    <w:adjustRightInd w:val="0"/>
                    <w:snapToGrid w:val="0"/>
                    <w:jc w:val="center"/>
                    <w:rPr>
                      <w:kern w:val="0"/>
                      <w:szCs w:val="21"/>
                    </w:rPr>
                  </w:pPr>
                  <w:r>
                    <w:rPr>
                      <w:kern w:val="0"/>
                      <w:szCs w:val="21"/>
                    </w:rPr>
                    <w:t>SS</w:t>
                  </w:r>
                </w:p>
              </w:tc>
              <w:tc>
                <w:tcPr>
                  <w:tcW w:w="3826" w:type="dxa"/>
                  <w:vAlign w:val="center"/>
                </w:tcPr>
                <w:p w14:paraId="055DD6E8">
                  <w:pPr>
                    <w:widowControl/>
                    <w:adjustRightInd w:val="0"/>
                    <w:snapToGrid w:val="0"/>
                    <w:jc w:val="center"/>
                    <w:rPr>
                      <w:kern w:val="0"/>
                      <w:szCs w:val="21"/>
                    </w:rPr>
                  </w:pPr>
                  <w:r>
                    <w:rPr>
                      <w:kern w:val="0"/>
                      <w:szCs w:val="21"/>
                    </w:rPr>
                    <w:t>洗车平台</w:t>
                  </w:r>
                </w:p>
              </w:tc>
              <w:tc>
                <w:tcPr>
                  <w:tcW w:w="1372" w:type="dxa"/>
                  <w:vAlign w:val="center"/>
                </w:tcPr>
                <w:p w14:paraId="7C0A2A4A">
                  <w:pPr>
                    <w:widowControl/>
                    <w:snapToGrid w:val="0"/>
                    <w:jc w:val="center"/>
                    <w:rPr>
                      <w:kern w:val="0"/>
                      <w:szCs w:val="21"/>
                    </w:rPr>
                  </w:pPr>
                  <w:r>
                    <w:rPr>
                      <w:kern w:val="0"/>
                      <w:szCs w:val="21"/>
                    </w:rPr>
                    <w:t>8</w:t>
                  </w:r>
                </w:p>
              </w:tc>
            </w:tr>
            <w:tr w14:paraId="0C655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4131B2FF">
                  <w:pPr>
                    <w:widowControl/>
                    <w:adjustRightInd w:val="0"/>
                    <w:snapToGrid w:val="0"/>
                    <w:jc w:val="center"/>
                    <w:rPr>
                      <w:kern w:val="0"/>
                      <w:szCs w:val="21"/>
                    </w:rPr>
                  </w:pPr>
                  <w:r>
                    <w:rPr>
                      <w:rFonts w:hint="eastAsia"/>
                      <w:kern w:val="0"/>
                      <w:szCs w:val="21"/>
                    </w:rPr>
                    <w:t>10</w:t>
                  </w:r>
                </w:p>
              </w:tc>
              <w:tc>
                <w:tcPr>
                  <w:tcW w:w="981" w:type="dxa"/>
                  <w:vAlign w:val="center"/>
                </w:tcPr>
                <w:p w14:paraId="2AACC93D">
                  <w:pPr>
                    <w:widowControl/>
                    <w:adjustRightInd w:val="0"/>
                    <w:snapToGrid w:val="0"/>
                    <w:jc w:val="center"/>
                    <w:rPr>
                      <w:kern w:val="0"/>
                      <w:szCs w:val="21"/>
                    </w:rPr>
                  </w:pPr>
                  <w:r>
                    <w:rPr>
                      <w:kern w:val="0"/>
                      <w:szCs w:val="21"/>
                    </w:rPr>
                    <w:t>初期雨水</w:t>
                  </w:r>
                </w:p>
              </w:tc>
              <w:tc>
                <w:tcPr>
                  <w:tcW w:w="850" w:type="dxa"/>
                  <w:vAlign w:val="center"/>
                </w:tcPr>
                <w:p w14:paraId="41B0F284">
                  <w:pPr>
                    <w:widowControl/>
                    <w:adjustRightInd w:val="0"/>
                    <w:snapToGrid w:val="0"/>
                    <w:jc w:val="center"/>
                    <w:rPr>
                      <w:kern w:val="0"/>
                      <w:szCs w:val="21"/>
                    </w:rPr>
                  </w:pPr>
                  <w:r>
                    <w:rPr>
                      <w:kern w:val="0"/>
                      <w:szCs w:val="21"/>
                    </w:rPr>
                    <w:t>SS</w:t>
                  </w:r>
                </w:p>
              </w:tc>
              <w:tc>
                <w:tcPr>
                  <w:tcW w:w="3826" w:type="dxa"/>
                  <w:vAlign w:val="center"/>
                </w:tcPr>
                <w:p w14:paraId="3C548520">
                  <w:pPr>
                    <w:widowControl/>
                    <w:adjustRightInd w:val="0"/>
                    <w:snapToGrid w:val="0"/>
                    <w:jc w:val="center"/>
                    <w:rPr>
                      <w:kern w:val="0"/>
                      <w:szCs w:val="21"/>
                    </w:rPr>
                  </w:pPr>
                  <w:r>
                    <w:rPr>
                      <w:rFonts w:hint="eastAsia"/>
                      <w:kern w:val="0"/>
                      <w:szCs w:val="21"/>
                    </w:rPr>
                    <w:t>西侧厂区设50m</w:t>
                  </w:r>
                  <w:r>
                    <w:rPr>
                      <w:rFonts w:hint="eastAsia"/>
                      <w:kern w:val="0"/>
                      <w:szCs w:val="21"/>
                      <w:vertAlign w:val="superscript"/>
                    </w:rPr>
                    <w:t>3</w:t>
                  </w:r>
                  <w:r>
                    <w:rPr>
                      <w:rFonts w:hint="eastAsia"/>
                      <w:kern w:val="0"/>
                      <w:szCs w:val="21"/>
                    </w:rPr>
                    <w:t>初期雨水收集池，东侧厂区设40</w:t>
                  </w:r>
                  <w:r>
                    <w:rPr>
                      <w:kern w:val="0"/>
                      <w:szCs w:val="21"/>
                    </w:rPr>
                    <w:t>m</w:t>
                  </w:r>
                  <w:r>
                    <w:rPr>
                      <w:kern w:val="0"/>
                      <w:szCs w:val="21"/>
                      <w:vertAlign w:val="superscript"/>
                    </w:rPr>
                    <w:t>3</w:t>
                  </w:r>
                  <w:r>
                    <w:rPr>
                      <w:kern w:val="0"/>
                      <w:szCs w:val="21"/>
                    </w:rPr>
                    <w:t>初期雨水收集池</w:t>
                  </w:r>
                </w:p>
              </w:tc>
              <w:tc>
                <w:tcPr>
                  <w:tcW w:w="1372" w:type="dxa"/>
                  <w:vAlign w:val="center"/>
                </w:tcPr>
                <w:p w14:paraId="1183E7EE">
                  <w:pPr>
                    <w:widowControl/>
                    <w:snapToGrid w:val="0"/>
                    <w:jc w:val="center"/>
                    <w:rPr>
                      <w:kern w:val="0"/>
                      <w:szCs w:val="21"/>
                    </w:rPr>
                  </w:pPr>
                  <w:r>
                    <w:rPr>
                      <w:kern w:val="0"/>
                      <w:szCs w:val="21"/>
                    </w:rPr>
                    <w:t>0.3</w:t>
                  </w:r>
                </w:p>
              </w:tc>
            </w:tr>
            <w:tr w14:paraId="59B77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27D3AC85">
                  <w:pPr>
                    <w:widowControl/>
                    <w:adjustRightInd w:val="0"/>
                    <w:snapToGrid w:val="0"/>
                    <w:jc w:val="center"/>
                    <w:rPr>
                      <w:kern w:val="0"/>
                      <w:szCs w:val="21"/>
                    </w:rPr>
                  </w:pPr>
                  <w:r>
                    <w:rPr>
                      <w:rFonts w:hint="eastAsia"/>
                      <w:kern w:val="0"/>
                      <w:szCs w:val="21"/>
                    </w:rPr>
                    <w:t>11</w:t>
                  </w:r>
                </w:p>
              </w:tc>
              <w:tc>
                <w:tcPr>
                  <w:tcW w:w="981" w:type="dxa"/>
                  <w:vAlign w:val="center"/>
                </w:tcPr>
                <w:p w14:paraId="7E8E3C96">
                  <w:pPr>
                    <w:widowControl/>
                    <w:adjustRightInd w:val="0"/>
                    <w:snapToGrid w:val="0"/>
                    <w:jc w:val="center"/>
                    <w:rPr>
                      <w:kern w:val="0"/>
                      <w:szCs w:val="21"/>
                    </w:rPr>
                  </w:pPr>
                  <w:r>
                    <w:rPr>
                      <w:kern w:val="0"/>
                      <w:szCs w:val="21"/>
                    </w:rPr>
                    <w:t>员工生活</w:t>
                  </w:r>
                </w:p>
              </w:tc>
              <w:tc>
                <w:tcPr>
                  <w:tcW w:w="850" w:type="dxa"/>
                  <w:vAlign w:val="center"/>
                </w:tcPr>
                <w:p w14:paraId="31B73144">
                  <w:pPr>
                    <w:widowControl/>
                    <w:adjustRightInd w:val="0"/>
                    <w:snapToGrid w:val="0"/>
                    <w:jc w:val="center"/>
                    <w:rPr>
                      <w:kern w:val="0"/>
                      <w:szCs w:val="21"/>
                    </w:rPr>
                  </w:pPr>
                  <w:r>
                    <w:rPr>
                      <w:kern w:val="0"/>
                      <w:szCs w:val="21"/>
                    </w:rPr>
                    <w:t>生活垃圾</w:t>
                  </w:r>
                </w:p>
              </w:tc>
              <w:tc>
                <w:tcPr>
                  <w:tcW w:w="3826" w:type="dxa"/>
                  <w:vAlign w:val="center"/>
                </w:tcPr>
                <w:p w14:paraId="5BE9D166">
                  <w:pPr>
                    <w:widowControl/>
                    <w:adjustRightInd w:val="0"/>
                    <w:snapToGrid w:val="0"/>
                    <w:jc w:val="center"/>
                    <w:rPr>
                      <w:kern w:val="0"/>
                      <w:szCs w:val="21"/>
                    </w:rPr>
                  </w:pPr>
                  <w:r>
                    <w:rPr>
                      <w:kern w:val="0"/>
                      <w:szCs w:val="21"/>
                    </w:rPr>
                    <w:t>厂内设生活垃圾收集箱，交由环卫部门统一处置</w:t>
                  </w:r>
                </w:p>
              </w:tc>
              <w:tc>
                <w:tcPr>
                  <w:tcW w:w="1372" w:type="dxa"/>
                  <w:vAlign w:val="center"/>
                </w:tcPr>
                <w:p w14:paraId="34130BC6">
                  <w:pPr>
                    <w:widowControl/>
                    <w:adjustRightInd w:val="0"/>
                    <w:snapToGrid w:val="0"/>
                    <w:jc w:val="center"/>
                    <w:rPr>
                      <w:kern w:val="0"/>
                      <w:szCs w:val="21"/>
                    </w:rPr>
                  </w:pPr>
                  <w:r>
                    <w:rPr>
                      <w:kern w:val="0"/>
                      <w:szCs w:val="21"/>
                    </w:rPr>
                    <w:t>0.5</w:t>
                  </w:r>
                </w:p>
              </w:tc>
            </w:tr>
            <w:tr w14:paraId="7963C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6F4258B0">
                  <w:pPr>
                    <w:widowControl/>
                    <w:adjustRightInd w:val="0"/>
                    <w:snapToGrid w:val="0"/>
                    <w:jc w:val="center"/>
                    <w:rPr>
                      <w:kern w:val="0"/>
                      <w:szCs w:val="21"/>
                    </w:rPr>
                  </w:pPr>
                  <w:r>
                    <w:rPr>
                      <w:rFonts w:hint="eastAsia"/>
                      <w:kern w:val="0"/>
                      <w:szCs w:val="21"/>
                    </w:rPr>
                    <w:t>12</w:t>
                  </w:r>
                </w:p>
              </w:tc>
              <w:tc>
                <w:tcPr>
                  <w:tcW w:w="1831" w:type="dxa"/>
                  <w:gridSpan w:val="2"/>
                  <w:vAlign w:val="center"/>
                </w:tcPr>
                <w:p w14:paraId="5F5137EB">
                  <w:pPr>
                    <w:widowControl/>
                    <w:adjustRightInd w:val="0"/>
                    <w:snapToGrid w:val="0"/>
                    <w:jc w:val="center"/>
                    <w:rPr>
                      <w:kern w:val="0"/>
                      <w:szCs w:val="21"/>
                    </w:rPr>
                  </w:pPr>
                  <w:r>
                    <w:rPr>
                      <w:kern w:val="0"/>
                      <w:szCs w:val="21"/>
                    </w:rPr>
                    <w:t>危险废物</w:t>
                  </w:r>
                </w:p>
              </w:tc>
              <w:tc>
                <w:tcPr>
                  <w:tcW w:w="3826" w:type="dxa"/>
                  <w:vAlign w:val="center"/>
                </w:tcPr>
                <w:p w14:paraId="49DB266F">
                  <w:pPr>
                    <w:widowControl/>
                    <w:adjustRightInd w:val="0"/>
                    <w:snapToGrid w:val="0"/>
                    <w:jc w:val="center"/>
                    <w:rPr>
                      <w:kern w:val="0"/>
                      <w:szCs w:val="21"/>
                    </w:rPr>
                  </w:pPr>
                  <w:r>
                    <w:rPr>
                      <w:kern w:val="0"/>
                      <w:szCs w:val="21"/>
                    </w:rPr>
                    <w:t>设一座20m</w:t>
                  </w:r>
                  <w:r>
                    <w:rPr>
                      <w:kern w:val="0"/>
                      <w:szCs w:val="21"/>
                      <w:vertAlign w:val="superscript"/>
                    </w:rPr>
                    <w:t>2</w:t>
                  </w:r>
                  <w:r>
                    <w:rPr>
                      <w:kern w:val="0"/>
                      <w:szCs w:val="21"/>
                    </w:rPr>
                    <w:t>危废</w:t>
                  </w:r>
                  <w:r>
                    <w:rPr>
                      <w:rFonts w:hint="eastAsia"/>
                      <w:color w:val="000000"/>
                      <w:szCs w:val="21"/>
                    </w:rPr>
                    <w:t>贮存库</w:t>
                  </w:r>
                  <w:r>
                    <w:rPr>
                      <w:kern w:val="0"/>
                      <w:szCs w:val="21"/>
                    </w:rPr>
                    <w:t>，按要求防渗</w:t>
                  </w:r>
                  <w:r>
                    <w:rPr>
                      <w:rFonts w:hint="eastAsia"/>
                      <w:kern w:val="0"/>
                      <w:szCs w:val="21"/>
                    </w:rPr>
                    <w:t>并配套其他污染防治设施。</w:t>
                  </w:r>
                </w:p>
              </w:tc>
              <w:tc>
                <w:tcPr>
                  <w:tcW w:w="1372" w:type="dxa"/>
                  <w:vAlign w:val="center"/>
                </w:tcPr>
                <w:p w14:paraId="775E5806">
                  <w:pPr>
                    <w:widowControl/>
                    <w:adjustRightInd w:val="0"/>
                    <w:snapToGrid w:val="0"/>
                    <w:jc w:val="center"/>
                    <w:rPr>
                      <w:kern w:val="0"/>
                      <w:szCs w:val="21"/>
                    </w:rPr>
                  </w:pPr>
                  <w:r>
                    <w:rPr>
                      <w:kern w:val="0"/>
                      <w:szCs w:val="21"/>
                    </w:rPr>
                    <w:t>5</w:t>
                  </w:r>
                </w:p>
              </w:tc>
            </w:tr>
            <w:tr w14:paraId="6C086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03D64FB4">
                  <w:pPr>
                    <w:widowControl/>
                    <w:adjustRightInd w:val="0"/>
                    <w:snapToGrid w:val="0"/>
                    <w:jc w:val="center"/>
                    <w:rPr>
                      <w:kern w:val="0"/>
                      <w:szCs w:val="21"/>
                    </w:rPr>
                  </w:pPr>
                  <w:r>
                    <w:rPr>
                      <w:rFonts w:hint="eastAsia"/>
                      <w:kern w:val="0"/>
                      <w:szCs w:val="21"/>
                    </w:rPr>
                    <w:t>13</w:t>
                  </w:r>
                </w:p>
              </w:tc>
              <w:tc>
                <w:tcPr>
                  <w:tcW w:w="1831" w:type="dxa"/>
                  <w:gridSpan w:val="2"/>
                  <w:vAlign w:val="center"/>
                </w:tcPr>
                <w:p w14:paraId="4FBC53E1">
                  <w:pPr>
                    <w:widowControl/>
                    <w:adjustRightInd w:val="0"/>
                    <w:snapToGrid w:val="0"/>
                    <w:jc w:val="center"/>
                    <w:rPr>
                      <w:kern w:val="0"/>
                      <w:szCs w:val="21"/>
                    </w:rPr>
                  </w:pPr>
                  <w:r>
                    <w:rPr>
                      <w:kern w:val="0"/>
                      <w:szCs w:val="21"/>
                    </w:rPr>
                    <w:t>噪声</w:t>
                  </w:r>
                  <w:r>
                    <w:rPr>
                      <w:rFonts w:hint="eastAsia"/>
                      <w:kern w:val="0"/>
                      <w:szCs w:val="21"/>
                    </w:rPr>
                    <w:t>污染防治</w:t>
                  </w:r>
                </w:p>
              </w:tc>
              <w:tc>
                <w:tcPr>
                  <w:tcW w:w="3826" w:type="dxa"/>
                  <w:vAlign w:val="center"/>
                </w:tcPr>
                <w:p w14:paraId="06EAAE04">
                  <w:pPr>
                    <w:widowControl/>
                    <w:adjustRightInd w:val="0"/>
                    <w:snapToGrid w:val="0"/>
                    <w:jc w:val="center"/>
                    <w:rPr>
                      <w:kern w:val="0"/>
                      <w:szCs w:val="21"/>
                    </w:rPr>
                  </w:pPr>
                  <w:r>
                    <w:rPr>
                      <w:kern w:val="0"/>
                      <w:szCs w:val="21"/>
                    </w:rPr>
                    <w:t>选用低噪声的设备、设置</w:t>
                  </w:r>
                  <w:r>
                    <w:rPr>
                      <w:rFonts w:hint="eastAsia"/>
                      <w:kern w:val="0"/>
                      <w:szCs w:val="21"/>
                    </w:rPr>
                    <w:t>减振</w:t>
                  </w:r>
                  <w:r>
                    <w:rPr>
                      <w:kern w:val="0"/>
                      <w:szCs w:val="21"/>
                    </w:rPr>
                    <w:t>垫、消音器，并在厂区四周种植树木、运输车辆限速行驶，严禁鸣笛</w:t>
                  </w:r>
                </w:p>
              </w:tc>
              <w:tc>
                <w:tcPr>
                  <w:tcW w:w="1372" w:type="dxa"/>
                  <w:vAlign w:val="center"/>
                </w:tcPr>
                <w:p w14:paraId="742289AB">
                  <w:pPr>
                    <w:widowControl/>
                    <w:adjustRightInd w:val="0"/>
                    <w:snapToGrid w:val="0"/>
                    <w:jc w:val="center"/>
                    <w:rPr>
                      <w:kern w:val="0"/>
                      <w:szCs w:val="21"/>
                    </w:rPr>
                  </w:pPr>
                  <w:r>
                    <w:rPr>
                      <w:kern w:val="0"/>
                      <w:szCs w:val="21"/>
                    </w:rPr>
                    <w:t>5</w:t>
                  </w:r>
                </w:p>
              </w:tc>
            </w:tr>
            <w:tr w14:paraId="03D10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7" w:type="dxa"/>
                  <w:vAlign w:val="center"/>
                </w:tcPr>
                <w:p w14:paraId="19EA49E7">
                  <w:pPr>
                    <w:widowControl/>
                    <w:adjustRightInd w:val="0"/>
                    <w:snapToGrid w:val="0"/>
                    <w:jc w:val="center"/>
                    <w:rPr>
                      <w:kern w:val="0"/>
                      <w:szCs w:val="21"/>
                    </w:rPr>
                  </w:pPr>
                  <w:r>
                    <w:rPr>
                      <w:rFonts w:hint="eastAsia"/>
                      <w:kern w:val="0"/>
                      <w:szCs w:val="21"/>
                    </w:rPr>
                    <w:t>14</w:t>
                  </w:r>
                </w:p>
              </w:tc>
              <w:tc>
                <w:tcPr>
                  <w:tcW w:w="1831" w:type="dxa"/>
                  <w:gridSpan w:val="2"/>
                  <w:vAlign w:val="center"/>
                </w:tcPr>
                <w:p w14:paraId="4C21EC92">
                  <w:pPr>
                    <w:widowControl/>
                    <w:adjustRightInd w:val="0"/>
                    <w:snapToGrid w:val="0"/>
                    <w:jc w:val="center"/>
                    <w:rPr>
                      <w:kern w:val="0"/>
                      <w:szCs w:val="21"/>
                    </w:rPr>
                  </w:pPr>
                  <w:r>
                    <w:rPr>
                      <w:rFonts w:hint="eastAsia"/>
                      <w:kern w:val="0"/>
                      <w:szCs w:val="21"/>
                    </w:rPr>
                    <w:t>生态恢复治理</w:t>
                  </w:r>
                </w:p>
              </w:tc>
              <w:tc>
                <w:tcPr>
                  <w:tcW w:w="3826" w:type="dxa"/>
                  <w:vAlign w:val="center"/>
                </w:tcPr>
                <w:p w14:paraId="4C7D8C15">
                  <w:pPr>
                    <w:widowControl/>
                    <w:adjustRightInd w:val="0"/>
                    <w:snapToGrid w:val="0"/>
                    <w:jc w:val="center"/>
                    <w:rPr>
                      <w:kern w:val="0"/>
                      <w:szCs w:val="21"/>
                    </w:rPr>
                  </w:pPr>
                  <w:r>
                    <w:rPr>
                      <w:rFonts w:hint="eastAsia"/>
                      <w:kern w:val="0"/>
                      <w:szCs w:val="21"/>
                    </w:rPr>
                    <w:t>600m</w:t>
                  </w:r>
                  <w:r>
                    <w:rPr>
                      <w:kern w:val="0"/>
                      <w:szCs w:val="21"/>
                      <w:vertAlign w:val="superscript"/>
                    </w:rPr>
                    <w:t>2</w:t>
                  </w:r>
                  <w:r>
                    <w:rPr>
                      <w:rFonts w:hint="eastAsia"/>
                      <w:kern w:val="0"/>
                      <w:szCs w:val="21"/>
                    </w:rPr>
                    <w:t>绿化美化</w:t>
                  </w:r>
                </w:p>
              </w:tc>
              <w:tc>
                <w:tcPr>
                  <w:tcW w:w="1372" w:type="dxa"/>
                  <w:vAlign w:val="center"/>
                </w:tcPr>
                <w:p w14:paraId="0773E2D1">
                  <w:pPr>
                    <w:widowControl/>
                    <w:adjustRightInd w:val="0"/>
                    <w:snapToGrid w:val="0"/>
                    <w:jc w:val="center"/>
                    <w:rPr>
                      <w:kern w:val="0"/>
                      <w:szCs w:val="21"/>
                    </w:rPr>
                  </w:pPr>
                  <w:r>
                    <w:rPr>
                      <w:rFonts w:hint="eastAsia"/>
                      <w:kern w:val="0"/>
                      <w:szCs w:val="21"/>
                    </w:rPr>
                    <w:t>6</w:t>
                  </w:r>
                </w:p>
              </w:tc>
            </w:tr>
            <w:tr w14:paraId="47CA3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294" w:type="dxa"/>
                  <w:gridSpan w:val="4"/>
                  <w:vAlign w:val="center"/>
                </w:tcPr>
                <w:p w14:paraId="064FFF62">
                  <w:pPr>
                    <w:widowControl/>
                    <w:adjustRightInd w:val="0"/>
                    <w:snapToGrid w:val="0"/>
                    <w:jc w:val="center"/>
                    <w:rPr>
                      <w:kern w:val="0"/>
                      <w:szCs w:val="21"/>
                    </w:rPr>
                  </w:pPr>
                  <w:r>
                    <w:rPr>
                      <w:kern w:val="0"/>
                      <w:szCs w:val="21"/>
                    </w:rPr>
                    <w:t>合计</w:t>
                  </w:r>
                </w:p>
              </w:tc>
              <w:tc>
                <w:tcPr>
                  <w:tcW w:w="1372" w:type="dxa"/>
                  <w:vAlign w:val="center"/>
                </w:tcPr>
                <w:p w14:paraId="4604F8D1">
                  <w:pPr>
                    <w:widowControl/>
                    <w:adjustRightInd w:val="0"/>
                    <w:snapToGrid w:val="0"/>
                    <w:jc w:val="center"/>
                    <w:rPr>
                      <w:kern w:val="0"/>
                      <w:szCs w:val="21"/>
                    </w:rPr>
                  </w:pPr>
                  <w:r>
                    <w:rPr>
                      <w:kern w:val="0"/>
                      <w:szCs w:val="21"/>
                    </w:rPr>
                    <w:fldChar w:fldCharType="begin"/>
                  </w:r>
                  <w:r>
                    <w:rPr>
                      <w:kern w:val="0"/>
                      <w:szCs w:val="21"/>
                    </w:rPr>
                    <w:instrText xml:space="preserve"> =SUM(ABOVE) </w:instrText>
                  </w:r>
                  <w:r>
                    <w:rPr>
                      <w:kern w:val="0"/>
                      <w:szCs w:val="21"/>
                    </w:rPr>
                    <w:fldChar w:fldCharType="separate"/>
                  </w:r>
                  <w:r>
                    <w:rPr>
                      <w:kern w:val="0"/>
                      <w:szCs w:val="21"/>
                    </w:rPr>
                    <w:t>47.8</w:t>
                  </w:r>
                  <w:r>
                    <w:rPr>
                      <w:kern w:val="0"/>
                      <w:szCs w:val="21"/>
                    </w:rPr>
                    <w:fldChar w:fldCharType="end"/>
                  </w:r>
                </w:p>
              </w:tc>
            </w:tr>
          </w:tbl>
          <w:p w14:paraId="769C2417">
            <w:pPr>
              <w:spacing w:line="360" w:lineRule="auto"/>
              <w:rPr>
                <w:kern w:val="0"/>
                <w:sz w:val="24"/>
              </w:rPr>
            </w:pPr>
          </w:p>
          <w:p w14:paraId="12614A39">
            <w:pPr>
              <w:spacing w:line="360" w:lineRule="auto"/>
              <w:rPr>
                <w:kern w:val="0"/>
                <w:sz w:val="24"/>
              </w:rPr>
            </w:pPr>
          </w:p>
          <w:p w14:paraId="3987A32D">
            <w:pPr>
              <w:spacing w:line="360" w:lineRule="auto"/>
              <w:rPr>
                <w:kern w:val="0"/>
                <w:sz w:val="24"/>
              </w:rPr>
            </w:pPr>
          </w:p>
          <w:p w14:paraId="46AC29B2">
            <w:pPr>
              <w:spacing w:line="360" w:lineRule="auto"/>
              <w:rPr>
                <w:kern w:val="0"/>
                <w:sz w:val="24"/>
              </w:rPr>
            </w:pPr>
          </w:p>
          <w:p w14:paraId="673C2A40">
            <w:pPr>
              <w:spacing w:line="360" w:lineRule="auto"/>
              <w:rPr>
                <w:kern w:val="0"/>
                <w:sz w:val="24"/>
              </w:rPr>
            </w:pPr>
          </w:p>
          <w:p w14:paraId="27E46309">
            <w:pPr>
              <w:spacing w:line="360" w:lineRule="auto"/>
              <w:rPr>
                <w:kern w:val="0"/>
                <w:sz w:val="24"/>
              </w:rPr>
            </w:pPr>
          </w:p>
          <w:p w14:paraId="19624DEC">
            <w:pPr>
              <w:spacing w:line="360" w:lineRule="auto"/>
              <w:rPr>
                <w:kern w:val="0"/>
                <w:sz w:val="24"/>
              </w:rPr>
            </w:pPr>
          </w:p>
          <w:p w14:paraId="0EB87AF6">
            <w:pPr>
              <w:spacing w:line="360" w:lineRule="auto"/>
              <w:rPr>
                <w:kern w:val="0"/>
                <w:sz w:val="24"/>
              </w:rPr>
            </w:pPr>
          </w:p>
          <w:p w14:paraId="337FDFEE">
            <w:pPr>
              <w:spacing w:line="360" w:lineRule="auto"/>
              <w:rPr>
                <w:kern w:val="0"/>
                <w:sz w:val="24"/>
              </w:rPr>
            </w:pPr>
          </w:p>
        </w:tc>
      </w:tr>
    </w:tbl>
    <w:p w14:paraId="51F64733">
      <w:pPr>
        <w:pStyle w:val="34"/>
        <w:jc w:val="center"/>
        <w:outlineLvl w:val="0"/>
        <w:rPr>
          <w:rFonts w:hint="eastAsia" w:ascii="黑体" w:hAnsi="黑体" w:eastAsia="黑体"/>
          <w:snapToGrid w:val="0"/>
          <w:sz w:val="30"/>
          <w:szCs w:val="30"/>
        </w:rPr>
        <w:sectPr>
          <w:pgSz w:w="11906" w:h="16838"/>
          <w:pgMar w:top="1440" w:right="1800" w:bottom="1440" w:left="1800" w:header="851" w:footer="992" w:gutter="0"/>
          <w:pgNumType w:fmt="numberInDash"/>
          <w:cols w:space="720" w:num="1"/>
          <w:docGrid w:type="lines" w:linePitch="312" w:charSpace="0"/>
        </w:sectPr>
      </w:pPr>
    </w:p>
    <w:p w14:paraId="075D0316">
      <w:pPr>
        <w:pStyle w:val="34"/>
        <w:jc w:val="center"/>
        <w:outlineLvl w:val="0"/>
        <w:rPr>
          <w:rFonts w:hint="eastAsia" w:ascii="黑体" w:hAnsi="黑体" w:eastAsia="黑体"/>
          <w:snapToGrid w:val="0"/>
          <w:sz w:val="30"/>
          <w:szCs w:val="30"/>
        </w:rPr>
      </w:pPr>
      <w:r>
        <w:rPr>
          <w:rFonts w:hint="eastAsia" w:ascii="黑体" w:hAnsi="黑体" w:eastAsia="黑体"/>
          <w:snapToGrid w:val="0"/>
          <w:sz w:val="30"/>
          <w:szCs w:val="30"/>
        </w:rPr>
        <w:t>五、</w:t>
      </w:r>
      <w:bookmarkStart w:id="25" w:name="_Hlk54167917"/>
      <w:r>
        <w:rPr>
          <w:rFonts w:hint="eastAsia" w:ascii="黑体" w:hAnsi="黑体" w:eastAsia="黑体"/>
          <w:snapToGrid w:val="0"/>
          <w:sz w:val="30"/>
          <w:szCs w:val="30"/>
        </w:rPr>
        <w:t>环境保护措施监督检查清单</w:t>
      </w:r>
      <w:bookmarkEnd w:id="25"/>
    </w:p>
    <w:tbl>
      <w:tblPr>
        <w:tblStyle w:val="39"/>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126"/>
        <w:gridCol w:w="1559"/>
        <w:gridCol w:w="2268"/>
        <w:gridCol w:w="2174"/>
      </w:tblGrid>
      <w:tr w14:paraId="0266F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3" w:type="dxa"/>
            <w:tcBorders>
              <w:tl2br w:val="single" w:color="auto" w:sz="4" w:space="0"/>
            </w:tcBorders>
            <w:vAlign w:val="center"/>
          </w:tcPr>
          <w:p w14:paraId="164C04DD">
            <w:pPr>
              <w:adjustRightInd w:val="0"/>
              <w:snapToGrid w:val="0"/>
              <w:jc w:val="center"/>
              <w:rPr>
                <w:szCs w:val="21"/>
              </w:rPr>
            </w:pPr>
            <w:r>
              <w:rPr>
                <w:szCs w:val="21"/>
              </w:rPr>
              <w:t>内容</w:t>
            </w:r>
          </w:p>
          <w:p w14:paraId="7D6349A7">
            <w:pPr>
              <w:adjustRightInd w:val="0"/>
              <w:snapToGrid w:val="0"/>
              <w:jc w:val="left"/>
              <w:rPr>
                <w:szCs w:val="21"/>
              </w:rPr>
            </w:pPr>
            <w:r>
              <w:rPr>
                <w:szCs w:val="21"/>
              </w:rPr>
              <w:t>要素</w:t>
            </w:r>
          </w:p>
        </w:tc>
        <w:tc>
          <w:tcPr>
            <w:tcW w:w="2126" w:type="dxa"/>
            <w:vAlign w:val="center"/>
          </w:tcPr>
          <w:p w14:paraId="650D94C9">
            <w:pPr>
              <w:adjustRightInd w:val="0"/>
              <w:snapToGrid w:val="0"/>
              <w:jc w:val="center"/>
              <w:rPr>
                <w:szCs w:val="21"/>
              </w:rPr>
            </w:pPr>
            <w:r>
              <w:rPr>
                <w:szCs w:val="21"/>
              </w:rPr>
              <w:t>排放口(编号、名称)/污染源</w:t>
            </w:r>
          </w:p>
        </w:tc>
        <w:tc>
          <w:tcPr>
            <w:tcW w:w="1559" w:type="dxa"/>
            <w:vAlign w:val="center"/>
          </w:tcPr>
          <w:p w14:paraId="5511CC71">
            <w:pPr>
              <w:adjustRightInd w:val="0"/>
              <w:snapToGrid w:val="0"/>
              <w:jc w:val="center"/>
              <w:rPr>
                <w:szCs w:val="21"/>
              </w:rPr>
            </w:pPr>
            <w:r>
              <w:rPr>
                <w:szCs w:val="21"/>
              </w:rPr>
              <w:t>污染物项目</w:t>
            </w:r>
          </w:p>
        </w:tc>
        <w:tc>
          <w:tcPr>
            <w:tcW w:w="2268" w:type="dxa"/>
            <w:vAlign w:val="center"/>
          </w:tcPr>
          <w:p w14:paraId="26DCFAB2">
            <w:pPr>
              <w:adjustRightInd w:val="0"/>
              <w:snapToGrid w:val="0"/>
              <w:jc w:val="center"/>
              <w:rPr>
                <w:szCs w:val="21"/>
              </w:rPr>
            </w:pPr>
            <w:r>
              <w:rPr>
                <w:szCs w:val="21"/>
              </w:rPr>
              <w:t>环境保护措施</w:t>
            </w:r>
          </w:p>
        </w:tc>
        <w:tc>
          <w:tcPr>
            <w:tcW w:w="2174" w:type="dxa"/>
            <w:vAlign w:val="center"/>
          </w:tcPr>
          <w:p w14:paraId="068A4ADF">
            <w:pPr>
              <w:adjustRightInd w:val="0"/>
              <w:snapToGrid w:val="0"/>
              <w:jc w:val="center"/>
              <w:rPr>
                <w:szCs w:val="21"/>
              </w:rPr>
            </w:pPr>
            <w:r>
              <w:rPr>
                <w:szCs w:val="21"/>
              </w:rPr>
              <w:t>执行标准</w:t>
            </w:r>
          </w:p>
        </w:tc>
      </w:tr>
      <w:tr w14:paraId="4A6EE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 w:type="dxa"/>
            <w:vMerge w:val="restart"/>
            <w:vAlign w:val="center"/>
          </w:tcPr>
          <w:p w14:paraId="42FAFF0F">
            <w:pPr>
              <w:adjustRightInd w:val="0"/>
              <w:snapToGrid w:val="0"/>
              <w:jc w:val="center"/>
              <w:rPr>
                <w:szCs w:val="21"/>
              </w:rPr>
            </w:pPr>
            <w:r>
              <w:rPr>
                <w:rFonts w:hint="eastAsia"/>
                <w:szCs w:val="21"/>
              </w:rPr>
              <w:t>大气环境</w:t>
            </w:r>
          </w:p>
        </w:tc>
        <w:tc>
          <w:tcPr>
            <w:tcW w:w="2126" w:type="dxa"/>
            <w:vAlign w:val="center"/>
          </w:tcPr>
          <w:p w14:paraId="3217B938">
            <w:pPr>
              <w:adjustRightInd w:val="0"/>
              <w:snapToGrid w:val="0"/>
              <w:jc w:val="center"/>
              <w:rPr>
                <w:szCs w:val="21"/>
              </w:rPr>
            </w:pPr>
            <w:r>
              <w:rPr>
                <w:rFonts w:hint="eastAsia"/>
                <w:szCs w:val="21"/>
              </w:rPr>
              <w:t>砂库出料排气筒（</w:t>
            </w:r>
            <w:r>
              <w:rPr>
                <w:szCs w:val="21"/>
              </w:rPr>
              <w:t>DA001</w:t>
            </w:r>
            <w:r>
              <w:rPr>
                <w:rFonts w:hint="eastAsia"/>
                <w:szCs w:val="21"/>
              </w:rPr>
              <w:t>）</w:t>
            </w:r>
          </w:p>
        </w:tc>
        <w:tc>
          <w:tcPr>
            <w:tcW w:w="1559" w:type="dxa"/>
            <w:vMerge w:val="restart"/>
            <w:vAlign w:val="center"/>
          </w:tcPr>
          <w:p w14:paraId="532970DC">
            <w:pPr>
              <w:adjustRightInd w:val="0"/>
              <w:snapToGrid w:val="0"/>
              <w:jc w:val="center"/>
              <w:rPr>
                <w:kern w:val="0"/>
                <w:szCs w:val="21"/>
              </w:rPr>
            </w:pPr>
            <w:r>
              <w:rPr>
                <w:rFonts w:hint="eastAsia"/>
                <w:kern w:val="0"/>
                <w:szCs w:val="21"/>
              </w:rPr>
              <w:t>颗粒物</w:t>
            </w:r>
          </w:p>
        </w:tc>
        <w:tc>
          <w:tcPr>
            <w:tcW w:w="2268" w:type="dxa"/>
            <w:vAlign w:val="center"/>
          </w:tcPr>
          <w:p w14:paraId="77DB87C1">
            <w:pPr>
              <w:adjustRightInd w:val="0"/>
              <w:snapToGrid w:val="0"/>
              <w:jc w:val="center"/>
              <w:rPr>
                <w:szCs w:val="21"/>
              </w:rPr>
            </w:pPr>
            <w:r>
              <w:rPr>
                <w:rFonts w:hint="eastAsia"/>
              </w:rPr>
              <w:t>集尘罩</w:t>
            </w:r>
            <w:r>
              <w:t>+</w:t>
            </w:r>
            <w:r>
              <w:rPr>
                <w:rFonts w:hint="eastAsia"/>
              </w:rPr>
              <w:t>袋式除尘器处理，集气效率</w:t>
            </w:r>
            <w:r>
              <w:t>95%</w:t>
            </w:r>
            <w:r>
              <w:rPr>
                <w:rFonts w:hint="eastAsia"/>
              </w:rPr>
              <w:t>，排气筒高15m。</w:t>
            </w:r>
          </w:p>
        </w:tc>
        <w:tc>
          <w:tcPr>
            <w:tcW w:w="2174" w:type="dxa"/>
            <w:vMerge w:val="restart"/>
            <w:vAlign w:val="center"/>
          </w:tcPr>
          <w:p w14:paraId="3BF3DD2B">
            <w:pPr>
              <w:adjustRightInd w:val="0"/>
              <w:snapToGrid w:val="0"/>
              <w:jc w:val="center"/>
              <w:rPr>
                <w:szCs w:val="21"/>
              </w:rPr>
            </w:pPr>
            <w:r>
              <w:rPr>
                <w:rFonts w:hint="eastAsia"/>
                <w:szCs w:val="21"/>
              </w:rPr>
              <w:t>《水泥工业大气污染物排放标准》</w:t>
            </w:r>
          </w:p>
          <w:p w14:paraId="15787D63">
            <w:pPr>
              <w:adjustRightInd w:val="0"/>
              <w:snapToGrid w:val="0"/>
              <w:jc w:val="center"/>
              <w:rPr>
                <w:szCs w:val="21"/>
              </w:rPr>
            </w:pPr>
            <w:r>
              <w:rPr>
                <w:rFonts w:hint="eastAsia"/>
                <w:szCs w:val="21"/>
              </w:rPr>
              <w:t>(GB4915-2013)特别排放限值</w:t>
            </w:r>
          </w:p>
        </w:tc>
      </w:tr>
      <w:tr w14:paraId="24C8B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 w:type="dxa"/>
            <w:vMerge w:val="continue"/>
            <w:vAlign w:val="center"/>
          </w:tcPr>
          <w:p w14:paraId="1C6ED533">
            <w:pPr>
              <w:adjustRightInd w:val="0"/>
              <w:snapToGrid w:val="0"/>
              <w:jc w:val="center"/>
              <w:rPr>
                <w:szCs w:val="21"/>
              </w:rPr>
            </w:pPr>
          </w:p>
        </w:tc>
        <w:tc>
          <w:tcPr>
            <w:tcW w:w="2126" w:type="dxa"/>
            <w:vAlign w:val="center"/>
          </w:tcPr>
          <w:p w14:paraId="62F5D373">
            <w:pPr>
              <w:adjustRightInd w:val="0"/>
              <w:snapToGrid w:val="0"/>
              <w:jc w:val="center"/>
              <w:rPr>
                <w:szCs w:val="21"/>
              </w:rPr>
            </w:pPr>
            <w:r>
              <w:rPr>
                <w:rFonts w:hint="eastAsia"/>
                <w:szCs w:val="21"/>
              </w:rPr>
              <w:t>主楼除尘器</w:t>
            </w:r>
            <w:r>
              <w:rPr>
                <w:szCs w:val="21"/>
              </w:rPr>
              <w:t>+</w:t>
            </w:r>
            <w:r>
              <w:rPr>
                <w:rFonts w:hint="eastAsia"/>
                <w:szCs w:val="21"/>
              </w:rPr>
              <w:t>包装机除尘器</w:t>
            </w:r>
            <w:r>
              <w:rPr>
                <w:szCs w:val="21"/>
              </w:rPr>
              <w:t>+</w:t>
            </w:r>
            <w:r>
              <w:rPr>
                <w:rFonts w:hint="eastAsia"/>
                <w:szCs w:val="21"/>
              </w:rPr>
              <w:t>主楼散装除尘器排气筒（</w:t>
            </w:r>
            <w:r>
              <w:rPr>
                <w:szCs w:val="21"/>
              </w:rPr>
              <w:t>DA002</w:t>
            </w:r>
            <w:r>
              <w:rPr>
                <w:rFonts w:hint="eastAsia"/>
                <w:szCs w:val="21"/>
              </w:rPr>
              <w:t>）</w:t>
            </w:r>
          </w:p>
        </w:tc>
        <w:tc>
          <w:tcPr>
            <w:tcW w:w="1559" w:type="dxa"/>
            <w:vMerge w:val="continue"/>
            <w:vAlign w:val="center"/>
          </w:tcPr>
          <w:p w14:paraId="0BBDDF63">
            <w:pPr>
              <w:adjustRightInd w:val="0"/>
              <w:snapToGrid w:val="0"/>
              <w:jc w:val="center"/>
              <w:rPr>
                <w:kern w:val="0"/>
                <w:szCs w:val="21"/>
              </w:rPr>
            </w:pPr>
          </w:p>
        </w:tc>
        <w:tc>
          <w:tcPr>
            <w:tcW w:w="2268" w:type="dxa"/>
            <w:vAlign w:val="center"/>
          </w:tcPr>
          <w:p w14:paraId="0E2F8F11">
            <w:pPr>
              <w:adjustRightInd w:val="0"/>
              <w:snapToGrid w:val="0"/>
              <w:jc w:val="center"/>
              <w:rPr>
                <w:szCs w:val="21"/>
              </w:rPr>
            </w:pPr>
            <w:r>
              <w:rPr>
                <w:rFonts w:hint="eastAsia"/>
              </w:rPr>
              <w:t>主楼袋式除尘器处理，风量</w:t>
            </w:r>
            <w:r>
              <w:t>8640m</w:t>
            </w:r>
            <w:r>
              <w:rPr>
                <w:vertAlign w:val="superscript"/>
              </w:rPr>
              <w:t>3</w:t>
            </w:r>
            <w:r>
              <w:t>/h</w:t>
            </w:r>
            <w:r>
              <w:rPr>
                <w:rFonts w:hint="eastAsia"/>
              </w:rPr>
              <w:t>；包装机袋式除尘器处理，风量</w:t>
            </w:r>
            <w:r>
              <w:t>10800m</w:t>
            </w:r>
            <w:r>
              <w:rPr>
                <w:vertAlign w:val="superscript"/>
              </w:rPr>
              <w:t>3</w:t>
            </w:r>
            <w:r>
              <w:t>/h</w:t>
            </w:r>
            <w:r>
              <w:rPr>
                <w:rFonts w:hint="eastAsia"/>
              </w:rPr>
              <w:t>；主楼散装袋式除尘器处理，风量</w:t>
            </w:r>
            <w:r>
              <w:t>4320m</w:t>
            </w:r>
            <w:r>
              <w:rPr>
                <w:vertAlign w:val="superscript"/>
              </w:rPr>
              <w:t>3</w:t>
            </w:r>
            <w:r>
              <w:t>/h</w:t>
            </w:r>
            <w:r>
              <w:rPr>
                <w:rFonts w:hint="eastAsia"/>
              </w:rPr>
              <w:t>；共用一个排气筒（DA002），排气筒高18m。</w:t>
            </w:r>
          </w:p>
        </w:tc>
        <w:tc>
          <w:tcPr>
            <w:tcW w:w="2174" w:type="dxa"/>
            <w:vMerge w:val="continue"/>
            <w:vAlign w:val="center"/>
          </w:tcPr>
          <w:p w14:paraId="51903832">
            <w:pPr>
              <w:adjustRightInd w:val="0"/>
              <w:snapToGrid w:val="0"/>
              <w:jc w:val="center"/>
              <w:rPr>
                <w:szCs w:val="21"/>
              </w:rPr>
            </w:pPr>
          </w:p>
        </w:tc>
      </w:tr>
      <w:tr w14:paraId="4F6DD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3" w:type="dxa"/>
            <w:vMerge w:val="continue"/>
            <w:vAlign w:val="center"/>
          </w:tcPr>
          <w:p w14:paraId="436538E7">
            <w:pPr>
              <w:adjustRightInd w:val="0"/>
              <w:snapToGrid w:val="0"/>
              <w:jc w:val="center"/>
              <w:rPr>
                <w:szCs w:val="21"/>
              </w:rPr>
            </w:pPr>
          </w:p>
        </w:tc>
        <w:tc>
          <w:tcPr>
            <w:tcW w:w="2126" w:type="dxa"/>
            <w:vAlign w:val="center"/>
          </w:tcPr>
          <w:p w14:paraId="1D44DFDE">
            <w:pPr>
              <w:adjustRightInd w:val="0"/>
              <w:snapToGrid w:val="0"/>
              <w:jc w:val="center"/>
              <w:rPr>
                <w:szCs w:val="21"/>
              </w:rPr>
            </w:pPr>
            <w:r>
              <w:rPr>
                <w:szCs w:val="21"/>
              </w:rPr>
              <w:t>1#</w:t>
            </w:r>
            <w:r>
              <w:rPr>
                <w:rFonts w:hint="eastAsia"/>
                <w:szCs w:val="21"/>
              </w:rPr>
              <w:t>水泥筒仓排气筒（</w:t>
            </w:r>
            <w:r>
              <w:rPr>
                <w:szCs w:val="21"/>
              </w:rPr>
              <w:t>DA003</w:t>
            </w:r>
            <w:r>
              <w:rPr>
                <w:rFonts w:hint="eastAsia"/>
                <w:szCs w:val="21"/>
              </w:rPr>
              <w:t>）</w:t>
            </w:r>
          </w:p>
        </w:tc>
        <w:tc>
          <w:tcPr>
            <w:tcW w:w="1559" w:type="dxa"/>
            <w:vMerge w:val="continue"/>
            <w:vAlign w:val="center"/>
          </w:tcPr>
          <w:p w14:paraId="764D1B57">
            <w:pPr>
              <w:adjustRightInd w:val="0"/>
              <w:snapToGrid w:val="0"/>
              <w:jc w:val="center"/>
              <w:rPr>
                <w:kern w:val="0"/>
                <w:szCs w:val="21"/>
              </w:rPr>
            </w:pPr>
          </w:p>
        </w:tc>
        <w:tc>
          <w:tcPr>
            <w:tcW w:w="2268" w:type="dxa"/>
            <w:vAlign w:val="center"/>
          </w:tcPr>
          <w:p w14:paraId="071ED4B1">
            <w:pPr>
              <w:adjustRightInd w:val="0"/>
              <w:snapToGrid w:val="0"/>
              <w:jc w:val="center"/>
              <w:rPr>
                <w:kern w:val="0"/>
                <w:szCs w:val="21"/>
              </w:rPr>
            </w:pPr>
            <w:r>
              <w:rPr>
                <w:rFonts w:hint="eastAsia"/>
              </w:rPr>
              <w:t>仓顶呼吸口设置布袋除尘器，风量</w:t>
            </w:r>
            <w:r>
              <w:t>2100m</w:t>
            </w:r>
            <w:r>
              <w:rPr>
                <w:vertAlign w:val="superscript"/>
              </w:rPr>
              <w:t>3</w:t>
            </w:r>
            <w:r>
              <w:t>/h</w:t>
            </w:r>
            <w:r>
              <w:rPr>
                <w:rFonts w:hint="eastAsia"/>
              </w:rPr>
              <w:t>，排气筒高29m。</w:t>
            </w:r>
          </w:p>
        </w:tc>
        <w:tc>
          <w:tcPr>
            <w:tcW w:w="2174" w:type="dxa"/>
            <w:vMerge w:val="continue"/>
            <w:vAlign w:val="center"/>
          </w:tcPr>
          <w:p w14:paraId="44D235FC">
            <w:pPr>
              <w:adjustRightInd w:val="0"/>
              <w:snapToGrid w:val="0"/>
              <w:jc w:val="center"/>
              <w:rPr>
                <w:szCs w:val="21"/>
              </w:rPr>
            </w:pPr>
          </w:p>
        </w:tc>
      </w:tr>
      <w:tr w14:paraId="24672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3" w:type="dxa"/>
            <w:vMerge w:val="continue"/>
            <w:vAlign w:val="center"/>
          </w:tcPr>
          <w:p w14:paraId="4460F47E">
            <w:pPr>
              <w:adjustRightInd w:val="0"/>
              <w:snapToGrid w:val="0"/>
              <w:jc w:val="center"/>
              <w:rPr>
                <w:szCs w:val="21"/>
              </w:rPr>
            </w:pPr>
          </w:p>
        </w:tc>
        <w:tc>
          <w:tcPr>
            <w:tcW w:w="2126" w:type="dxa"/>
            <w:vAlign w:val="center"/>
          </w:tcPr>
          <w:p w14:paraId="56905366">
            <w:pPr>
              <w:adjustRightInd w:val="0"/>
              <w:snapToGrid w:val="0"/>
              <w:jc w:val="center"/>
              <w:rPr>
                <w:szCs w:val="21"/>
              </w:rPr>
            </w:pPr>
            <w:r>
              <w:rPr>
                <w:szCs w:val="21"/>
              </w:rPr>
              <w:t>2#</w:t>
            </w:r>
            <w:r>
              <w:rPr>
                <w:rFonts w:hint="eastAsia"/>
                <w:szCs w:val="21"/>
              </w:rPr>
              <w:t>水泥筒仓排气筒（</w:t>
            </w:r>
            <w:r>
              <w:rPr>
                <w:szCs w:val="21"/>
              </w:rPr>
              <w:t>DA004</w:t>
            </w:r>
            <w:r>
              <w:rPr>
                <w:rFonts w:hint="eastAsia"/>
                <w:szCs w:val="21"/>
              </w:rPr>
              <w:t>）</w:t>
            </w:r>
          </w:p>
        </w:tc>
        <w:tc>
          <w:tcPr>
            <w:tcW w:w="1559" w:type="dxa"/>
            <w:vMerge w:val="continue"/>
            <w:vAlign w:val="center"/>
          </w:tcPr>
          <w:p w14:paraId="79DC50C9">
            <w:pPr>
              <w:adjustRightInd w:val="0"/>
              <w:snapToGrid w:val="0"/>
              <w:jc w:val="center"/>
              <w:rPr>
                <w:szCs w:val="21"/>
              </w:rPr>
            </w:pPr>
          </w:p>
        </w:tc>
        <w:tc>
          <w:tcPr>
            <w:tcW w:w="2268" w:type="dxa"/>
            <w:vAlign w:val="center"/>
          </w:tcPr>
          <w:p w14:paraId="14141BF8">
            <w:pPr>
              <w:adjustRightInd w:val="0"/>
              <w:snapToGrid w:val="0"/>
              <w:jc w:val="center"/>
              <w:rPr>
                <w:szCs w:val="21"/>
              </w:rPr>
            </w:pPr>
            <w:r>
              <w:rPr>
                <w:rFonts w:hint="eastAsia"/>
              </w:rPr>
              <w:t>仓顶呼吸口设置布袋除尘器，风量</w:t>
            </w:r>
            <w:r>
              <w:t>2100m</w:t>
            </w:r>
            <w:r>
              <w:rPr>
                <w:vertAlign w:val="superscript"/>
              </w:rPr>
              <w:t>3</w:t>
            </w:r>
            <w:r>
              <w:t>/h</w:t>
            </w:r>
            <w:r>
              <w:rPr>
                <w:rFonts w:hint="eastAsia"/>
              </w:rPr>
              <w:t>，排气筒高29m。</w:t>
            </w:r>
          </w:p>
        </w:tc>
        <w:tc>
          <w:tcPr>
            <w:tcW w:w="2174" w:type="dxa"/>
            <w:vMerge w:val="continue"/>
            <w:vAlign w:val="center"/>
          </w:tcPr>
          <w:p w14:paraId="6281B0C4">
            <w:pPr>
              <w:adjustRightInd w:val="0"/>
              <w:snapToGrid w:val="0"/>
              <w:jc w:val="center"/>
              <w:rPr>
                <w:szCs w:val="21"/>
              </w:rPr>
            </w:pPr>
          </w:p>
        </w:tc>
      </w:tr>
      <w:tr w14:paraId="09423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3" w:type="dxa"/>
            <w:vMerge w:val="continue"/>
            <w:vAlign w:val="center"/>
          </w:tcPr>
          <w:p w14:paraId="2461FF63">
            <w:pPr>
              <w:adjustRightInd w:val="0"/>
              <w:snapToGrid w:val="0"/>
              <w:jc w:val="center"/>
              <w:rPr>
                <w:szCs w:val="21"/>
              </w:rPr>
            </w:pPr>
          </w:p>
        </w:tc>
        <w:tc>
          <w:tcPr>
            <w:tcW w:w="2126" w:type="dxa"/>
            <w:vAlign w:val="center"/>
          </w:tcPr>
          <w:p w14:paraId="5E8F35CE">
            <w:pPr>
              <w:adjustRightInd w:val="0"/>
              <w:snapToGrid w:val="0"/>
              <w:jc w:val="center"/>
              <w:rPr>
                <w:szCs w:val="21"/>
              </w:rPr>
            </w:pPr>
            <w:r>
              <w:rPr>
                <w:rFonts w:hint="eastAsia"/>
                <w:szCs w:val="21"/>
              </w:rPr>
              <w:t>粉煤灰筒仓排气筒（</w:t>
            </w:r>
            <w:r>
              <w:rPr>
                <w:szCs w:val="21"/>
              </w:rPr>
              <w:t>DA005</w:t>
            </w:r>
            <w:r>
              <w:rPr>
                <w:rFonts w:hint="eastAsia"/>
                <w:szCs w:val="21"/>
              </w:rPr>
              <w:t>）</w:t>
            </w:r>
          </w:p>
        </w:tc>
        <w:tc>
          <w:tcPr>
            <w:tcW w:w="1559" w:type="dxa"/>
            <w:vMerge w:val="continue"/>
            <w:vAlign w:val="center"/>
          </w:tcPr>
          <w:p w14:paraId="37100C8F">
            <w:pPr>
              <w:adjustRightInd w:val="0"/>
              <w:snapToGrid w:val="0"/>
              <w:jc w:val="center"/>
              <w:rPr>
                <w:szCs w:val="21"/>
              </w:rPr>
            </w:pPr>
          </w:p>
        </w:tc>
        <w:tc>
          <w:tcPr>
            <w:tcW w:w="2268" w:type="dxa"/>
            <w:vAlign w:val="center"/>
          </w:tcPr>
          <w:p w14:paraId="7DBE92ED">
            <w:pPr>
              <w:adjustRightInd w:val="0"/>
              <w:snapToGrid w:val="0"/>
              <w:jc w:val="center"/>
              <w:rPr>
                <w:bCs/>
                <w:szCs w:val="21"/>
              </w:rPr>
            </w:pPr>
            <w:r>
              <w:rPr>
                <w:rFonts w:hint="eastAsia"/>
              </w:rPr>
              <w:t>仓顶呼吸口设置布袋除尘器，风量</w:t>
            </w:r>
            <w:r>
              <w:t>2100m</w:t>
            </w:r>
            <w:r>
              <w:rPr>
                <w:vertAlign w:val="superscript"/>
              </w:rPr>
              <w:t>3</w:t>
            </w:r>
            <w:r>
              <w:t>/h</w:t>
            </w:r>
            <w:r>
              <w:rPr>
                <w:rFonts w:hint="eastAsia"/>
              </w:rPr>
              <w:t>，排气筒高29m。</w:t>
            </w:r>
          </w:p>
        </w:tc>
        <w:tc>
          <w:tcPr>
            <w:tcW w:w="2174" w:type="dxa"/>
            <w:vMerge w:val="continue"/>
            <w:vAlign w:val="center"/>
          </w:tcPr>
          <w:p w14:paraId="13178B28">
            <w:pPr>
              <w:adjustRightInd w:val="0"/>
              <w:snapToGrid w:val="0"/>
              <w:jc w:val="center"/>
              <w:rPr>
                <w:szCs w:val="21"/>
              </w:rPr>
            </w:pPr>
          </w:p>
        </w:tc>
      </w:tr>
      <w:tr w14:paraId="55CAF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3" w:type="dxa"/>
            <w:vMerge w:val="continue"/>
            <w:vAlign w:val="center"/>
          </w:tcPr>
          <w:p w14:paraId="4C4AA0CB">
            <w:pPr>
              <w:adjustRightInd w:val="0"/>
              <w:snapToGrid w:val="0"/>
              <w:jc w:val="center"/>
              <w:rPr>
                <w:szCs w:val="21"/>
              </w:rPr>
            </w:pPr>
          </w:p>
        </w:tc>
        <w:tc>
          <w:tcPr>
            <w:tcW w:w="2126" w:type="dxa"/>
            <w:vAlign w:val="center"/>
          </w:tcPr>
          <w:p w14:paraId="66076C7A">
            <w:pPr>
              <w:adjustRightInd w:val="0"/>
              <w:snapToGrid w:val="0"/>
              <w:jc w:val="center"/>
              <w:rPr>
                <w:szCs w:val="21"/>
              </w:rPr>
            </w:pPr>
            <w:r>
              <w:rPr>
                <w:rFonts w:hint="eastAsia"/>
                <w:szCs w:val="21"/>
              </w:rPr>
              <w:t>成品仓散装除尘器</w:t>
            </w:r>
            <w:r>
              <w:rPr>
                <w:szCs w:val="21"/>
              </w:rPr>
              <w:t>+</w:t>
            </w:r>
            <w:r>
              <w:rPr>
                <w:rFonts w:hint="eastAsia"/>
                <w:szCs w:val="21"/>
              </w:rPr>
              <w:t>成品仓仓顶除尘器排气筒（</w:t>
            </w:r>
            <w:r>
              <w:rPr>
                <w:szCs w:val="21"/>
              </w:rPr>
              <w:t>DA006</w:t>
            </w:r>
            <w:r>
              <w:rPr>
                <w:rFonts w:hint="eastAsia"/>
                <w:szCs w:val="21"/>
              </w:rPr>
              <w:t>）</w:t>
            </w:r>
          </w:p>
        </w:tc>
        <w:tc>
          <w:tcPr>
            <w:tcW w:w="1559" w:type="dxa"/>
            <w:vMerge w:val="continue"/>
            <w:vAlign w:val="center"/>
          </w:tcPr>
          <w:p w14:paraId="45D97144">
            <w:pPr>
              <w:adjustRightInd w:val="0"/>
              <w:snapToGrid w:val="0"/>
              <w:jc w:val="center"/>
              <w:rPr>
                <w:szCs w:val="21"/>
              </w:rPr>
            </w:pPr>
          </w:p>
        </w:tc>
        <w:tc>
          <w:tcPr>
            <w:tcW w:w="2268" w:type="dxa"/>
            <w:vAlign w:val="center"/>
          </w:tcPr>
          <w:p w14:paraId="41DB1B97">
            <w:pPr>
              <w:adjustRightInd w:val="0"/>
              <w:snapToGrid w:val="0"/>
              <w:jc w:val="center"/>
              <w:rPr>
                <w:bCs/>
                <w:szCs w:val="21"/>
              </w:rPr>
            </w:pPr>
            <w:r>
              <w:rPr>
                <w:rFonts w:hint="eastAsia"/>
              </w:rPr>
              <w:t>成品仓散装袋式除尘器处理，风量4320m</w:t>
            </w:r>
            <w:r>
              <w:rPr>
                <w:rFonts w:hint="eastAsia"/>
                <w:vertAlign w:val="superscript"/>
              </w:rPr>
              <w:t>3</w:t>
            </w:r>
            <w:r>
              <w:rPr>
                <w:rFonts w:hint="eastAsia"/>
              </w:rPr>
              <w:t>/h；成品仓仓顶呼吸口设置布袋除尘器，风量</w:t>
            </w:r>
            <w:r>
              <w:t>4320m</w:t>
            </w:r>
            <w:r>
              <w:rPr>
                <w:vertAlign w:val="superscript"/>
              </w:rPr>
              <w:t>3</w:t>
            </w:r>
            <w:r>
              <w:t>/h</w:t>
            </w:r>
            <w:r>
              <w:rPr>
                <w:rFonts w:hint="eastAsia"/>
              </w:rPr>
              <w:t>，共用一个排气筒（DA006），排气筒高19m。</w:t>
            </w:r>
          </w:p>
        </w:tc>
        <w:tc>
          <w:tcPr>
            <w:tcW w:w="2174" w:type="dxa"/>
            <w:vMerge w:val="continue"/>
            <w:vAlign w:val="center"/>
          </w:tcPr>
          <w:p w14:paraId="0DBE3A30">
            <w:pPr>
              <w:adjustRightInd w:val="0"/>
              <w:snapToGrid w:val="0"/>
              <w:jc w:val="center"/>
              <w:rPr>
                <w:szCs w:val="21"/>
              </w:rPr>
            </w:pPr>
          </w:p>
        </w:tc>
      </w:tr>
      <w:tr w14:paraId="5C9D5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3" w:type="dxa"/>
            <w:vMerge w:val="continue"/>
            <w:vAlign w:val="center"/>
          </w:tcPr>
          <w:p w14:paraId="67833443">
            <w:pPr>
              <w:adjustRightInd w:val="0"/>
              <w:snapToGrid w:val="0"/>
              <w:jc w:val="center"/>
              <w:rPr>
                <w:szCs w:val="21"/>
              </w:rPr>
            </w:pPr>
          </w:p>
        </w:tc>
        <w:tc>
          <w:tcPr>
            <w:tcW w:w="2126" w:type="dxa"/>
            <w:vAlign w:val="center"/>
          </w:tcPr>
          <w:p w14:paraId="2F78E21B">
            <w:pPr>
              <w:pStyle w:val="348"/>
              <w:jc w:val="center"/>
              <w:rPr>
                <w:sz w:val="21"/>
                <w:szCs w:val="21"/>
              </w:rPr>
            </w:pPr>
            <w:r>
              <w:rPr>
                <w:rFonts w:hint="eastAsia"/>
                <w:sz w:val="21"/>
                <w:szCs w:val="21"/>
              </w:rPr>
              <w:t>厂界</w:t>
            </w:r>
          </w:p>
        </w:tc>
        <w:tc>
          <w:tcPr>
            <w:tcW w:w="1559" w:type="dxa"/>
            <w:vAlign w:val="center"/>
          </w:tcPr>
          <w:p w14:paraId="4B86F1A3">
            <w:pPr>
              <w:adjustRightInd w:val="0"/>
              <w:snapToGrid w:val="0"/>
              <w:jc w:val="center"/>
              <w:rPr>
                <w:szCs w:val="21"/>
              </w:rPr>
            </w:pPr>
            <w:r>
              <w:rPr>
                <w:rFonts w:hint="eastAsia"/>
                <w:kern w:val="0"/>
                <w:szCs w:val="21"/>
              </w:rPr>
              <w:t>颗粒物</w:t>
            </w:r>
          </w:p>
        </w:tc>
        <w:tc>
          <w:tcPr>
            <w:tcW w:w="2268" w:type="dxa"/>
            <w:vAlign w:val="center"/>
          </w:tcPr>
          <w:p w14:paraId="12F0CD2A">
            <w:pPr>
              <w:adjustRightInd w:val="0"/>
              <w:snapToGrid w:val="0"/>
              <w:jc w:val="center"/>
              <w:rPr>
                <w:szCs w:val="21"/>
              </w:rPr>
            </w:pPr>
            <w:r>
              <w:rPr>
                <w:rFonts w:hint="eastAsia"/>
                <w:szCs w:val="21"/>
              </w:rPr>
              <w:t>厂区原料场封闭、其他粉料采用封闭筒仓，厂区地面硬化，定期雾炮车喷雾降尘</w:t>
            </w:r>
          </w:p>
        </w:tc>
        <w:tc>
          <w:tcPr>
            <w:tcW w:w="2174" w:type="dxa"/>
            <w:vAlign w:val="center"/>
          </w:tcPr>
          <w:p w14:paraId="3AFB7AA8">
            <w:pPr>
              <w:adjustRightInd w:val="0"/>
              <w:snapToGrid w:val="0"/>
              <w:jc w:val="center"/>
              <w:rPr>
                <w:szCs w:val="21"/>
              </w:rPr>
            </w:pPr>
            <w:r>
              <w:rPr>
                <w:szCs w:val="21"/>
              </w:rPr>
              <w:t>《水泥工业大气污染物排放标准》(GB4915-2013)</w:t>
            </w:r>
            <w:r>
              <w:rPr>
                <w:rFonts w:hint="eastAsia"/>
                <w:szCs w:val="21"/>
              </w:rPr>
              <w:t>厂界浓度监控点排放限值</w:t>
            </w:r>
          </w:p>
        </w:tc>
      </w:tr>
      <w:tr w14:paraId="10770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3" w:type="dxa"/>
            <w:vMerge w:val="restart"/>
            <w:vAlign w:val="center"/>
          </w:tcPr>
          <w:p w14:paraId="1AA97D39">
            <w:pPr>
              <w:adjustRightInd w:val="0"/>
              <w:snapToGrid w:val="0"/>
              <w:jc w:val="center"/>
              <w:rPr>
                <w:szCs w:val="21"/>
              </w:rPr>
            </w:pPr>
            <w:r>
              <w:rPr>
                <w:szCs w:val="21"/>
              </w:rPr>
              <w:t>地表水环境</w:t>
            </w:r>
          </w:p>
        </w:tc>
        <w:tc>
          <w:tcPr>
            <w:tcW w:w="2126" w:type="dxa"/>
            <w:vAlign w:val="center"/>
          </w:tcPr>
          <w:p w14:paraId="7335AA2D">
            <w:pPr>
              <w:adjustRightInd w:val="0"/>
              <w:snapToGrid w:val="0"/>
              <w:jc w:val="center"/>
              <w:rPr>
                <w:szCs w:val="21"/>
              </w:rPr>
            </w:pPr>
            <w:r>
              <w:rPr>
                <w:kern w:val="0"/>
                <w:szCs w:val="21"/>
              </w:rPr>
              <w:t>生活污水</w:t>
            </w:r>
          </w:p>
        </w:tc>
        <w:tc>
          <w:tcPr>
            <w:tcW w:w="1559" w:type="dxa"/>
            <w:vAlign w:val="center"/>
          </w:tcPr>
          <w:p w14:paraId="6CCE8292">
            <w:pPr>
              <w:adjustRightInd w:val="0"/>
              <w:snapToGrid w:val="0"/>
              <w:jc w:val="center"/>
              <w:rPr>
                <w:szCs w:val="21"/>
              </w:rPr>
            </w:pPr>
            <w:r>
              <w:rPr>
                <w:bCs/>
                <w:kern w:val="0"/>
                <w:szCs w:val="21"/>
              </w:rPr>
              <w:t>COD、NH</w:t>
            </w:r>
            <w:r>
              <w:rPr>
                <w:bCs/>
                <w:kern w:val="0"/>
                <w:szCs w:val="21"/>
                <w:vertAlign w:val="subscript"/>
              </w:rPr>
              <w:t>3</w:t>
            </w:r>
            <w:r>
              <w:rPr>
                <w:bCs/>
                <w:kern w:val="0"/>
                <w:szCs w:val="21"/>
              </w:rPr>
              <w:t>-N</w:t>
            </w:r>
            <w:r>
              <w:rPr>
                <w:rFonts w:hint="eastAsia"/>
                <w:bCs/>
                <w:kern w:val="0"/>
                <w:szCs w:val="21"/>
              </w:rPr>
              <w:t>/</w:t>
            </w:r>
            <w:r>
              <w:rPr>
                <w:bCs/>
                <w:kern w:val="0"/>
                <w:szCs w:val="21"/>
              </w:rPr>
              <w:t>BOD</w:t>
            </w:r>
          </w:p>
        </w:tc>
        <w:tc>
          <w:tcPr>
            <w:tcW w:w="2268" w:type="dxa"/>
            <w:vAlign w:val="center"/>
          </w:tcPr>
          <w:p w14:paraId="49740F8D">
            <w:pPr>
              <w:adjustRightInd w:val="0"/>
              <w:snapToGrid w:val="0"/>
              <w:jc w:val="center"/>
              <w:rPr>
                <w:szCs w:val="21"/>
              </w:rPr>
            </w:pPr>
            <w:r>
              <w:rPr>
                <w:bCs/>
                <w:kern w:val="0"/>
                <w:szCs w:val="21"/>
              </w:rPr>
              <w:t>厂区建设</w:t>
            </w:r>
            <w:r>
              <w:rPr>
                <w:rFonts w:hint="eastAsia"/>
                <w:bCs/>
                <w:kern w:val="0"/>
                <w:szCs w:val="21"/>
              </w:rPr>
              <w:t>化粪池</w:t>
            </w:r>
            <w:r>
              <w:rPr>
                <w:bCs/>
                <w:kern w:val="0"/>
                <w:szCs w:val="21"/>
              </w:rPr>
              <w:t>，定期清掏</w:t>
            </w:r>
          </w:p>
        </w:tc>
        <w:tc>
          <w:tcPr>
            <w:tcW w:w="2174" w:type="dxa"/>
            <w:vMerge w:val="restart"/>
            <w:vAlign w:val="center"/>
          </w:tcPr>
          <w:p w14:paraId="04857F73">
            <w:pPr>
              <w:adjustRightInd w:val="0"/>
              <w:snapToGrid w:val="0"/>
              <w:jc w:val="center"/>
              <w:rPr>
                <w:szCs w:val="21"/>
              </w:rPr>
            </w:pPr>
            <w:r>
              <w:rPr>
                <w:szCs w:val="21"/>
              </w:rPr>
              <w:t>/</w:t>
            </w:r>
          </w:p>
        </w:tc>
      </w:tr>
      <w:tr w14:paraId="040DD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3" w:type="dxa"/>
            <w:vMerge w:val="continue"/>
            <w:vAlign w:val="center"/>
          </w:tcPr>
          <w:p w14:paraId="4299BE12">
            <w:pPr>
              <w:adjustRightInd w:val="0"/>
              <w:snapToGrid w:val="0"/>
              <w:jc w:val="center"/>
              <w:rPr>
                <w:szCs w:val="21"/>
              </w:rPr>
            </w:pPr>
          </w:p>
        </w:tc>
        <w:tc>
          <w:tcPr>
            <w:tcW w:w="2126" w:type="dxa"/>
            <w:vAlign w:val="center"/>
          </w:tcPr>
          <w:p w14:paraId="1F1D90F5">
            <w:pPr>
              <w:adjustRightInd w:val="0"/>
              <w:snapToGrid w:val="0"/>
              <w:jc w:val="center"/>
              <w:rPr>
                <w:szCs w:val="21"/>
              </w:rPr>
            </w:pPr>
            <w:r>
              <w:rPr>
                <w:kern w:val="0"/>
                <w:szCs w:val="21"/>
              </w:rPr>
              <w:t>车辆清洗废水</w:t>
            </w:r>
          </w:p>
        </w:tc>
        <w:tc>
          <w:tcPr>
            <w:tcW w:w="1559" w:type="dxa"/>
            <w:vAlign w:val="center"/>
          </w:tcPr>
          <w:p w14:paraId="4C4EC75E">
            <w:pPr>
              <w:adjustRightInd w:val="0"/>
              <w:snapToGrid w:val="0"/>
              <w:jc w:val="center"/>
              <w:rPr>
                <w:szCs w:val="21"/>
              </w:rPr>
            </w:pPr>
            <w:r>
              <w:rPr>
                <w:bCs/>
                <w:kern w:val="0"/>
                <w:szCs w:val="21"/>
              </w:rPr>
              <w:t>SS</w:t>
            </w:r>
          </w:p>
        </w:tc>
        <w:tc>
          <w:tcPr>
            <w:tcW w:w="2268" w:type="dxa"/>
            <w:vAlign w:val="center"/>
          </w:tcPr>
          <w:p w14:paraId="05433C1E">
            <w:pPr>
              <w:adjustRightInd w:val="0"/>
              <w:snapToGrid w:val="0"/>
              <w:jc w:val="center"/>
              <w:rPr>
                <w:szCs w:val="21"/>
              </w:rPr>
            </w:pPr>
            <w:r>
              <w:rPr>
                <w:rFonts w:hint="eastAsia"/>
                <w:bCs/>
                <w:kern w:val="0"/>
                <w:szCs w:val="21"/>
              </w:rPr>
              <w:t>洗车平台+沉淀池处理后回用，不外排</w:t>
            </w:r>
          </w:p>
        </w:tc>
        <w:tc>
          <w:tcPr>
            <w:tcW w:w="2174" w:type="dxa"/>
            <w:vMerge w:val="continue"/>
            <w:vAlign w:val="center"/>
          </w:tcPr>
          <w:p w14:paraId="7F65EBA3">
            <w:pPr>
              <w:adjustRightInd w:val="0"/>
              <w:snapToGrid w:val="0"/>
              <w:jc w:val="center"/>
              <w:rPr>
                <w:szCs w:val="21"/>
              </w:rPr>
            </w:pPr>
          </w:p>
        </w:tc>
      </w:tr>
      <w:tr w14:paraId="77C53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3" w:type="dxa"/>
            <w:vMerge w:val="continue"/>
            <w:vAlign w:val="center"/>
          </w:tcPr>
          <w:p w14:paraId="2292BD96">
            <w:pPr>
              <w:adjustRightInd w:val="0"/>
              <w:snapToGrid w:val="0"/>
              <w:jc w:val="center"/>
              <w:rPr>
                <w:szCs w:val="21"/>
              </w:rPr>
            </w:pPr>
          </w:p>
        </w:tc>
        <w:tc>
          <w:tcPr>
            <w:tcW w:w="2126" w:type="dxa"/>
            <w:vAlign w:val="center"/>
          </w:tcPr>
          <w:p w14:paraId="727FE0C8">
            <w:pPr>
              <w:adjustRightInd w:val="0"/>
              <w:snapToGrid w:val="0"/>
              <w:jc w:val="center"/>
              <w:rPr>
                <w:szCs w:val="21"/>
              </w:rPr>
            </w:pPr>
            <w:r>
              <w:rPr>
                <w:kern w:val="0"/>
                <w:szCs w:val="21"/>
              </w:rPr>
              <w:t>初期雨水</w:t>
            </w:r>
          </w:p>
        </w:tc>
        <w:tc>
          <w:tcPr>
            <w:tcW w:w="1559" w:type="dxa"/>
            <w:vAlign w:val="center"/>
          </w:tcPr>
          <w:p w14:paraId="2EDF48D3">
            <w:pPr>
              <w:adjustRightInd w:val="0"/>
              <w:snapToGrid w:val="0"/>
              <w:jc w:val="center"/>
              <w:rPr>
                <w:szCs w:val="21"/>
              </w:rPr>
            </w:pPr>
            <w:r>
              <w:rPr>
                <w:bCs/>
                <w:kern w:val="0"/>
                <w:szCs w:val="21"/>
              </w:rPr>
              <w:t>SS</w:t>
            </w:r>
          </w:p>
        </w:tc>
        <w:tc>
          <w:tcPr>
            <w:tcW w:w="2268" w:type="dxa"/>
            <w:vAlign w:val="center"/>
          </w:tcPr>
          <w:p w14:paraId="46F99D58">
            <w:pPr>
              <w:adjustRightInd w:val="0"/>
              <w:snapToGrid w:val="0"/>
              <w:jc w:val="center"/>
              <w:rPr>
                <w:szCs w:val="21"/>
              </w:rPr>
            </w:pPr>
            <w:r>
              <w:rPr>
                <w:rFonts w:hint="eastAsia"/>
                <w:kern w:val="0"/>
                <w:szCs w:val="21"/>
              </w:rPr>
              <w:t>西侧厂区</w:t>
            </w:r>
            <w:r>
              <w:rPr>
                <w:kern w:val="0"/>
                <w:szCs w:val="21"/>
              </w:rPr>
              <w:t>设50m</w:t>
            </w:r>
            <w:r>
              <w:rPr>
                <w:kern w:val="0"/>
                <w:szCs w:val="21"/>
                <w:vertAlign w:val="superscript"/>
              </w:rPr>
              <w:t>3</w:t>
            </w:r>
            <w:r>
              <w:rPr>
                <w:kern w:val="0"/>
                <w:szCs w:val="21"/>
              </w:rPr>
              <w:t>初期雨水收集池</w:t>
            </w:r>
            <w:r>
              <w:rPr>
                <w:rFonts w:hint="eastAsia"/>
                <w:kern w:val="0"/>
                <w:szCs w:val="21"/>
              </w:rPr>
              <w:t>，东侧厂区设40m</w:t>
            </w:r>
            <w:r>
              <w:rPr>
                <w:kern w:val="0"/>
                <w:szCs w:val="21"/>
                <w:vertAlign w:val="superscript"/>
              </w:rPr>
              <w:t>3</w:t>
            </w:r>
            <w:r>
              <w:rPr>
                <w:rFonts w:hint="eastAsia"/>
                <w:kern w:val="0"/>
                <w:szCs w:val="21"/>
              </w:rPr>
              <w:t>初期雨水收集池</w:t>
            </w:r>
            <w:r>
              <w:rPr>
                <w:kern w:val="0"/>
                <w:szCs w:val="21"/>
              </w:rPr>
              <w:t>，沉淀后</w:t>
            </w:r>
            <w:r>
              <w:rPr>
                <w:rFonts w:hint="eastAsia"/>
                <w:kern w:val="0"/>
                <w:szCs w:val="21"/>
              </w:rPr>
              <w:t>用于厂区洒水抑尘</w:t>
            </w:r>
            <w:r>
              <w:rPr>
                <w:kern w:val="0"/>
                <w:szCs w:val="21"/>
              </w:rPr>
              <w:t>，不外排</w:t>
            </w:r>
          </w:p>
        </w:tc>
        <w:tc>
          <w:tcPr>
            <w:tcW w:w="2174" w:type="dxa"/>
            <w:vMerge w:val="continue"/>
            <w:vAlign w:val="center"/>
          </w:tcPr>
          <w:p w14:paraId="711618E0">
            <w:pPr>
              <w:adjustRightInd w:val="0"/>
              <w:snapToGrid w:val="0"/>
              <w:jc w:val="center"/>
              <w:rPr>
                <w:szCs w:val="21"/>
              </w:rPr>
            </w:pPr>
          </w:p>
        </w:tc>
      </w:tr>
      <w:tr w14:paraId="0E0A6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3" w:type="dxa"/>
            <w:vAlign w:val="center"/>
          </w:tcPr>
          <w:p w14:paraId="63C4A59E">
            <w:pPr>
              <w:adjustRightInd w:val="0"/>
              <w:snapToGrid w:val="0"/>
              <w:jc w:val="center"/>
              <w:rPr>
                <w:szCs w:val="21"/>
              </w:rPr>
            </w:pPr>
            <w:r>
              <w:rPr>
                <w:szCs w:val="21"/>
              </w:rPr>
              <w:t>声环境</w:t>
            </w:r>
          </w:p>
        </w:tc>
        <w:tc>
          <w:tcPr>
            <w:tcW w:w="2126" w:type="dxa"/>
            <w:vAlign w:val="center"/>
          </w:tcPr>
          <w:p w14:paraId="0A129204">
            <w:pPr>
              <w:adjustRightInd w:val="0"/>
              <w:snapToGrid w:val="0"/>
              <w:jc w:val="center"/>
              <w:rPr>
                <w:szCs w:val="21"/>
              </w:rPr>
            </w:pPr>
            <w:r>
              <w:rPr>
                <w:rFonts w:hint="eastAsia"/>
                <w:szCs w:val="21"/>
              </w:rPr>
              <w:t>生产</w:t>
            </w:r>
            <w:r>
              <w:rPr>
                <w:szCs w:val="21"/>
              </w:rPr>
              <w:t>设备</w:t>
            </w:r>
          </w:p>
        </w:tc>
        <w:tc>
          <w:tcPr>
            <w:tcW w:w="1559" w:type="dxa"/>
            <w:vAlign w:val="center"/>
          </w:tcPr>
          <w:p w14:paraId="05786159">
            <w:pPr>
              <w:adjustRightInd w:val="0"/>
              <w:snapToGrid w:val="0"/>
              <w:jc w:val="center"/>
              <w:rPr>
                <w:szCs w:val="21"/>
              </w:rPr>
            </w:pPr>
            <w:r>
              <w:rPr>
                <w:bCs/>
                <w:szCs w:val="21"/>
              </w:rPr>
              <w:t>噪声</w:t>
            </w:r>
          </w:p>
        </w:tc>
        <w:tc>
          <w:tcPr>
            <w:tcW w:w="2268" w:type="dxa"/>
            <w:vAlign w:val="center"/>
          </w:tcPr>
          <w:p w14:paraId="763B4827">
            <w:pPr>
              <w:adjustRightInd w:val="0"/>
              <w:snapToGrid w:val="0"/>
              <w:jc w:val="center"/>
              <w:rPr>
                <w:szCs w:val="21"/>
              </w:rPr>
            </w:pPr>
            <w:r>
              <w:rPr>
                <w:bCs/>
                <w:szCs w:val="21"/>
              </w:rPr>
              <w:t>选用低噪声设备，</w:t>
            </w:r>
            <w:r>
              <w:rPr>
                <w:rFonts w:hint="eastAsia"/>
                <w:bCs/>
                <w:szCs w:val="21"/>
              </w:rPr>
              <w:t>基础减振</w:t>
            </w:r>
            <w:r>
              <w:rPr>
                <w:bCs/>
                <w:szCs w:val="21"/>
              </w:rPr>
              <w:t>，消音器，种植树木、运输车辆限速行驶，严禁鸣笛</w:t>
            </w:r>
          </w:p>
        </w:tc>
        <w:tc>
          <w:tcPr>
            <w:tcW w:w="2174" w:type="dxa"/>
            <w:vAlign w:val="center"/>
          </w:tcPr>
          <w:p w14:paraId="5B4C028B">
            <w:pPr>
              <w:adjustRightInd w:val="0"/>
              <w:snapToGrid w:val="0"/>
              <w:jc w:val="center"/>
              <w:rPr>
                <w:szCs w:val="21"/>
              </w:rPr>
            </w:pPr>
            <w:r>
              <w:rPr>
                <w:kern w:val="0"/>
                <w:szCs w:val="21"/>
              </w:rPr>
              <w:t>《工业企业厂界环境噪声排放标准》（GB12348-2008）中2类标准</w:t>
            </w:r>
          </w:p>
        </w:tc>
      </w:tr>
      <w:tr w14:paraId="2D410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673" w:type="dxa"/>
            <w:vAlign w:val="center"/>
          </w:tcPr>
          <w:p w14:paraId="40A1F94B">
            <w:pPr>
              <w:adjustRightInd w:val="0"/>
              <w:snapToGrid w:val="0"/>
              <w:jc w:val="center"/>
              <w:rPr>
                <w:szCs w:val="21"/>
              </w:rPr>
            </w:pPr>
            <w:r>
              <w:rPr>
                <w:szCs w:val="21"/>
              </w:rPr>
              <w:t>固体废物</w:t>
            </w:r>
          </w:p>
        </w:tc>
        <w:tc>
          <w:tcPr>
            <w:tcW w:w="8127" w:type="dxa"/>
            <w:gridSpan w:val="4"/>
            <w:vAlign w:val="center"/>
          </w:tcPr>
          <w:p w14:paraId="20E58B57">
            <w:pPr>
              <w:adjustRightInd w:val="0"/>
              <w:snapToGrid w:val="0"/>
              <w:rPr>
                <w:szCs w:val="21"/>
              </w:rPr>
            </w:pPr>
            <w:r>
              <w:rPr>
                <w:szCs w:val="21"/>
              </w:rPr>
              <w:t>1、生活垃圾，集中收集后交由环卫部门统一处置；</w:t>
            </w:r>
          </w:p>
          <w:p w14:paraId="211F3AF6">
            <w:pPr>
              <w:adjustRightInd w:val="0"/>
              <w:snapToGrid w:val="0"/>
              <w:rPr>
                <w:szCs w:val="21"/>
              </w:rPr>
            </w:pPr>
            <w:r>
              <w:rPr>
                <w:szCs w:val="21"/>
              </w:rPr>
              <w:t>2、一般工业固体废物</w:t>
            </w:r>
            <w:r>
              <w:rPr>
                <w:rFonts w:hint="eastAsia"/>
                <w:szCs w:val="21"/>
              </w:rPr>
              <w:t>：</w:t>
            </w:r>
            <w:r>
              <w:rPr>
                <w:rFonts w:hint="eastAsia" w:ascii="宋体" w:hAnsi="宋体" w:cs="宋体"/>
                <w:szCs w:val="21"/>
              </w:rPr>
              <w:t>除尘设施收集的</w:t>
            </w:r>
            <w:r>
              <w:rPr>
                <w:szCs w:val="21"/>
              </w:rPr>
              <w:t>除尘灰全部回用于生产；</w:t>
            </w:r>
          </w:p>
          <w:p w14:paraId="4625A53E">
            <w:pPr>
              <w:adjustRightInd w:val="0"/>
              <w:snapToGrid w:val="0"/>
              <w:rPr>
                <w:szCs w:val="21"/>
              </w:rPr>
            </w:pPr>
            <w:r>
              <w:rPr>
                <w:szCs w:val="21"/>
              </w:rPr>
              <w:t>3、危险废物</w:t>
            </w:r>
            <w:r>
              <w:rPr>
                <w:rFonts w:hint="eastAsia"/>
                <w:szCs w:val="21"/>
              </w:rPr>
              <w:t>：</w:t>
            </w:r>
            <w:r>
              <w:rPr>
                <w:szCs w:val="21"/>
              </w:rPr>
              <w:t>废机油</w:t>
            </w:r>
            <w:r>
              <w:rPr>
                <w:rFonts w:hint="eastAsia"/>
                <w:szCs w:val="21"/>
              </w:rPr>
              <w:t>、废润滑油、废油桶、废含油手套和棉纱等</w:t>
            </w:r>
            <w:r>
              <w:rPr>
                <w:szCs w:val="21"/>
              </w:rPr>
              <w:t>集中收集后暂存于危废</w:t>
            </w:r>
            <w:r>
              <w:rPr>
                <w:rFonts w:hint="eastAsia"/>
                <w:szCs w:val="21"/>
              </w:rPr>
              <w:t>贮存库</w:t>
            </w:r>
            <w:r>
              <w:rPr>
                <w:szCs w:val="21"/>
              </w:rPr>
              <w:t>，</w:t>
            </w:r>
            <w:r>
              <w:rPr>
                <w:rFonts w:hint="eastAsia"/>
                <w:szCs w:val="21"/>
              </w:rPr>
              <w:t>定期</w:t>
            </w:r>
            <w:r>
              <w:rPr>
                <w:szCs w:val="21"/>
              </w:rPr>
              <w:t>由有资质单位处置。</w:t>
            </w:r>
          </w:p>
        </w:tc>
      </w:tr>
      <w:tr w14:paraId="64AE1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673" w:type="dxa"/>
            <w:vAlign w:val="center"/>
          </w:tcPr>
          <w:p w14:paraId="32901CF8">
            <w:pPr>
              <w:adjustRightInd w:val="0"/>
              <w:snapToGrid w:val="0"/>
              <w:jc w:val="center"/>
              <w:rPr>
                <w:szCs w:val="21"/>
              </w:rPr>
            </w:pPr>
            <w:r>
              <w:rPr>
                <w:szCs w:val="21"/>
              </w:rPr>
              <w:t>土壤及地下水污染防治措施</w:t>
            </w:r>
          </w:p>
        </w:tc>
        <w:tc>
          <w:tcPr>
            <w:tcW w:w="8127" w:type="dxa"/>
            <w:gridSpan w:val="4"/>
            <w:vAlign w:val="center"/>
          </w:tcPr>
          <w:p w14:paraId="5DB4304E">
            <w:pPr>
              <w:pStyle w:val="20"/>
              <w:rPr>
                <w:szCs w:val="21"/>
              </w:rPr>
            </w:pPr>
            <w:r>
              <w:rPr>
                <w:rFonts w:hint="eastAsia" w:ascii="Times New Roman" w:hAnsi="Times New Roman"/>
                <w:szCs w:val="21"/>
              </w:rPr>
              <w:t>厂区分区防渗，危废贮存库为重点防渗分区，</w:t>
            </w:r>
            <w:r>
              <w:rPr>
                <w:rFonts w:ascii="Times New Roman" w:hAnsi="Times New Roman"/>
                <w:szCs w:val="21"/>
              </w:rPr>
              <w:t>防渗</w:t>
            </w:r>
            <w:r>
              <w:rPr>
                <w:rFonts w:hint="eastAsia" w:ascii="Times New Roman" w:hAnsi="Times New Roman"/>
                <w:szCs w:val="21"/>
              </w:rPr>
              <w:t>要求如下</w:t>
            </w:r>
            <w:r>
              <w:rPr>
                <w:rFonts w:ascii="Times New Roman" w:hAnsi="Times New Roman"/>
                <w:szCs w:val="21"/>
              </w:rPr>
              <w:t>:</w:t>
            </w:r>
            <w:r>
              <w:rPr>
                <w:rFonts w:hint="eastAsia" w:ascii="Times New Roman" w:hAnsi="Times New Roman"/>
                <w:szCs w:val="21"/>
              </w:rPr>
              <w:t>采取下铺砌砂石基层，地面素土夯实上部采用混凝土结构，</w:t>
            </w:r>
            <w:r>
              <w:rPr>
                <w:rFonts w:ascii="Times New Roman" w:hAnsi="Times New Roman"/>
                <w:szCs w:val="21"/>
              </w:rPr>
              <w:t>3:7</w:t>
            </w:r>
            <w:r>
              <w:rPr>
                <w:rFonts w:hint="eastAsia" w:ascii="Times New Roman" w:hAnsi="Times New Roman"/>
                <w:szCs w:val="21"/>
              </w:rPr>
              <w:t>灰土基层</w:t>
            </w:r>
            <w:r>
              <w:rPr>
                <w:rFonts w:ascii="Times New Roman" w:hAnsi="Times New Roman"/>
                <w:szCs w:val="21"/>
              </w:rPr>
              <w:t>200mm</w:t>
            </w:r>
            <w:r>
              <w:rPr>
                <w:rFonts w:hint="eastAsia" w:ascii="Times New Roman" w:hAnsi="Times New Roman"/>
                <w:szCs w:val="21"/>
              </w:rPr>
              <w:t>；基础层采用</w:t>
            </w:r>
            <w:r>
              <w:rPr>
                <w:rFonts w:ascii="Times New Roman" w:hAnsi="Times New Roman"/>
                <w:szCs w:val="21"/>
              </w:rPr>
              <w:t>C25</w:t>
            </w:r>
            <w:r>
              <w:rPr>
                <w:rFonts w:hint="eastAsia" w:ascii="Times New Roman" w:hAnsi="Times New Roman"/>
                <w:szCs w:val="21"/>
              </w:rPr>
              <w:t>抗渗混凝土浇筑，抗渗混凝土的抗渗等级不宜小于</w:t>
            </w:r>
            <w:r>
              <w:rPr>
                <w:rFonts w:ascii="Times New Roman" w:hAnsi="Times New Roman"/>
                <w:szCs w:val="21"/>
              </w:rPr>
              <w:t>P8</w:t>
            </w:r>
            <w:r>
              <w:rPr>
                <w:rFonts w:hint="eastAsia" w:ascii="Times New Roman" w:hAnsi="Times New Roman"/>
                <w:szCs w:val="21"/>
              </w:rPr>
              <w:t>，厚度在</w:t>
            </w:r>
            <w:r>
              <w:rPr>
                <w:rFonts w:ascii="Times New Roman" w:hAnsi="Times New Roman"/>
                <w:szCs w:val="21"/>
              </w:rPr>
              <w:t>200mm</w:t>
            </w:r>
            <w:r>
              <w:rPr>
                <w:rFonts w:hint="eastAsia" w:ascii="Times New Roman" w:hAnsi="Times New Roman"/>
                <w:szCs w:val="21"/>
              </w:rPr>
              <w:t>以上，上层涂刷环氧树脂防腐地平漆；污染区地面应设计一定坡度，坡度根据竖向布置一般不小于</w:t>
            </w:r>
            <w:r>
              <w:rPr>
                <w:rFonts w:ascii="Times New Roman" w:hAnsi="Times New Roman"/>
                <w:szCs w:val="21"/>
              </w:rPr>
              <w:t>0.3%</w:t>
            </w:r>
            <w:r>
              <w:rPr>
                <w:rFonts w:hint="eastAsia" w:ascii="Times New Roman" w:hAnsi="Times New Roman"/>
                <w:szCs w:val="21"/>
              </w:rPr>
              <w:t>，且区域内不应出现平坡和排水不畅区。</w:t>
            </w:r>
          </w:p>
        </w:tc>
      </w:tr>
      <w:tr w14:paraId="1DD12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673" w:type="dxa"/>
            <w:vAlign w:val="center"/>
          </w:tcPr>
          <w:p w14:paraId="0562B3FC">
            <w:pPr>
              <w:adjustRightInd w:val="0"/>
              <w:snapToGrid w:val="0"/>
              <w:jc w:val="center"/>
              <w:rPr>
                <w:szCs w:val="21"/>
              </w:rPr>
            </w:pPr>
            <w:r>
              <w:rPr>
                <w:szCs w:val="21"/>
              </w:rPr>
              <w:t>生态保护措施</w:t>
            </w:r>
          </w:p>
        </w:tc>
        <w:tc>
          <w:tcPr>
            <w:tcW w:w="8127" w:type="dxa"/>
            <w:gridSpan w:val="4"/>
            <w:vAlign w:val="center"/>
          </w:tcPr>
          <w:p w14:paraId="369F7448">
            <w:pPr>
              <w:pStyle w:val="20"/>
              <w:rPr>
                <w:rFonts w:ascii="Times New Roman" w:hAnsi="Times New Roman"/>
                <w:szCs w:val="21"/>
              </w:rPr>
            </w:pPr>
            <w:r>
              <w:rPr>
                <w:rFonts w:ascii="Times New Roman" w:hAnsi="Times New Roman"/>
                <w:szCs w:val="21"/>
              </w:rPr>
              <w:t>1、加强管理，做好环保设施管理和维修工作，根据工程的实际情况，要注意防范由于人为因素引起的植被破坏，以确保生态保护投资和保护效果的统一。</w:t>
            </w:r>
          </w:p>
          <w:p w14:paraId="1E3CCEAB">
            <w:pPr>
              <w:adjustRightInd w:val="0"/>
              <w:snapToGrid w:val="0"/>
              <w:jc w:val="left"/>
              <w:rPr>
                <w:szCs w:val="21"/>
              </w:rPr>
            </w:pPr>
            <w:r>
              <w:rPr>
                <w:szCs w:val="21"/>
              </w:rPr>
              <w:t>2、绿化美化是环境保护的重要内容之一。本次项目应该根据厂区的布置情况，积极对厂区内外进行绿化。</w:t>
            </w:r>
          </w:p>
        </w:tc>
      </w:tr>
      <w:tr w14:paraId="58628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673" w:type="dxa"/>
            <w:vAlign w:val="center"/>
          </w:tcPr>
          <w:p w14:paraId="7BF0A75B">
            <w:pPr>
              <w:adjustRightInd w:val="0"/>
              <w:snapToGrid w:val="0"/>
              <w:jc w:val="center"/>
              <w:rPr>
                <w:spacing w:val="-8"/>
                <w:szCs w:val="21"/>
              </w:rPr>
            </w:pPr>
            <w:r>
              <w:rPr>
                <w:spacing w:val="-8"/>
                <w:szCs w:val="21"/>
              </w:rPr>
              <w:t>环境风险</w:t>
            </w:r>
          </w:p>
          <w:p w14:paraId="5A513DA0">
            <w:pPr>
              <w:adjustRightInd w:val="0"/>
              <w:snapToGrid w:val="0"/>
              <w:jc w:val="center"/>
              <w:rPr>
                <w:spacing w:val="-8"/>
                <w:szCs w:val="21"/>
              </w:rPr>
            </w:pPr>
            <w:r>
              <w:rPr>
                <w:spacing w:val="-8"/>
                <w:szCs w:val="21"/>
              </w:rPr>
              <w:t>防范措施</w:t>
            </w:r>
          </w:p>
        </w:tc>
        <w:tc>
          <w:tcPr>
            <w:tcW w:w="8127" w:type="dxa"/>
            <w:gridSpan w:val="4"/>
            <w:vAlign w:val="center"/>
          </w:tcPr>
          <w:p w14:paraId="79B60ECB">
            <w:pPr>
              <w:pStyle w:val="20"/>
              <w:rPr>
                <w:rFonts w:ascii="Times New Roman" w:hAnsi="Times New Roman"/>
                <w:szCs w:val="21"/>
              </w:rPr>
            </w:pPr>
            <w:r>
              <w:rPr>
                <w:rFonts w:ascii="Times New Roman" w:hAnsi="Times New Roman"/>
                <w:szCs w:val="21"/>
              </w:rPr>
              <w:t>为确保安全生产，防止灾害和事故的发生和蔓延</w:t>
            </w:r>
            <w:r>
              <w:rPr>
                <w:rFonts w:hint="eastAsia" w:ascii="Times New Roman" w:hAnsi="Times New Roman"/>
                <w:szCs w:val="21"/>
              </w:rPr>
              <w:t>进而导致次生环境污染事故发生</w:t>
            </w:r>
            <w:r>
              <w:rPr>
                <w:rFonts w:ascii="Times New Roman" w:hAnsi="Times New Roman"/>
                <w:szCs w:val="21"/>
              </w:rPr>
              <w:t>，在项目建设中，充分设置各种必须的安全和消防措施</w:t>
            </w:r>
            <w:r>
              <w:rPr>
                <w:rFonts w:hint="eastAsia" w:ascii="Times New Roman" w:hAnsi="Times New Roman"/>
                <w:szCs w:val="21"/>
              </w:rPr>
              <w:t>，配备足够的应急物资</w:t>
            </w:r>
            <w:r>
              <w:rPr>
                <w:rFonts w:ascii="Times New Roman" w:hAnsi="Times New Roman"/>
                <w:szCs w:val="21"/>
              </w:rPr>
              <w:t>。</w:t>
            </w:r>
          </w:p>
        </w:tc>
      </w:tr>
      <w:tr w14:paraId="2690B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73" w:type="dxa"/>
            <w:vAlign w:val="center"/>
          </w:tcPr>
          <w:p w14:paraId="5639F7C9">
            <w:pPr>
              <w:adjustRightInd w:val="0"/>
              <w:snapToGrid w:val="0"/>
              <w:jc w:val="center"/>
              <w:rPr>
                <w:spacing w:val="-8"/>
                <w:szCs w:val="21"/>
              </w:rPr>
            </w:pPr>
            <w:r>
              <w:rPr>
                <w:spacing w:val="-8"/>
                <w:szCs w:val="21"/>
              </w:rPr>
              <w:t>其他环境</w:t>
            </w:r>
          </w:p>
          <w:p w14:paraId="08E3B4B0">
            <w:pPr>
              <w:adjustRightInd w:val="0"/>
              <w:snapToGrid w:val="0"/>
              <w:jc w:val="center"/>
              <w:rPr>
                <w:spacing w:val="-8"/>
                <w:szCs w:val="21"/>
              </w:rPr>
            </w:pPr>
            <w:r>
              <w:rPr>
                <w:spacing w:val="-8"/>
                <w:szCs w:val="21"/>
              </w:rPr>
              <w:t>管理要求</w:t>
            </w:r>
          </w:p>
        </w:tc>
        <w:tc>
          <w:tcPr>
            <w:tcW w:w="8127" w:type="dxa"/>
            <w:gridSpan w:val="4"/>
            <w:vAlign w:val="center"/>
          </w:tcPr>
          <w:p w14:paraId="22976F2C">
            <w:pPr>
              <w:pStyle w:val="20"/>
              <w:rPr>
                <w:rFonts w:ascii="Times New Roman" w:hAnsi="Times New Roman"/>
                <w:szCs w:val="21"/>
              </w:rPr>
            </w:pPr>
            <w:r>
              <w:rPr>
                <w:rFonts w:hint="eastAsia" w:ascii="Times New Roman" w:hAnsi="Times New Roman"/>
                <w:szCs w:val="21"/>
              </w:rPr>
              <w:t>为严格落实本评价提出的各项环境保护措施，建设单位应切实加强该项目在运行期间的环境污染治理能力建设，强化环境管理，定期委托有监测能力和资质的单位进行自行监测，以反馈环境污染治理情况，从而促进污染治理措施的改进和完善。要重视环境保护工作，配备环保管理专职人员，认真负责全厂的环境管理、环境统计、污染源的治理及长效管理。另外加强运营期的环境管理，加强设备的维护和保养。</w:t>
            </w:r>
          </w:p>
        </w:tc>
      </w:tr>
    </w:tbl>
    <w:p w14:paraId="283A95AA">
      <w:pPr>
        <w:pStyle w:val="34"/>
        <w:jc w:val="center"/>
        <w:outlineLvl w:val="0"/>
        <w:rPr>
          <w:rFonts w:hint="eastAsia"/>
          <w:snapToGrid w:val="0"/>
        </w:rPr>
        <w:sectPr>
          <w:pgSz w:w="11906" w:h="16838"/>
          <w:pgMar w:top="1440" w:right="1440" w:bottom="1440" w:left="1440" w:header="851" w:footer="851" w:gutter="0"/>
          <w:pgNumType w:fmt="numberInDash"/>
          <w:cols w:space="720" w:num="1"/>
          <w:docGrid w:linePitch="312" w:charSpace="0"/>
        </w:sectPr>
      </w:pPr>
    </w:p>
    <w:p w14:paraId="5200EA5E">
      <w:pPr>
        <w:pStyle w:val="34"/>
        <w:jc w:val="center"/>
        <w:outlineLvl w:val="0"/>
        <w:rPr>
          <w:rFonts w:hint="eastAsia" w:ascii="黑体" w:hAnsi="黑体" w:eastAsia="黑体"/>
          <w:snapToGrid w:val="0"/>
          <w:sz w:val="30"/>
          <w:szCs w:val="30"/>
        </w:rPr>
      </w:pPr>
      <w:r>
        <w:rPr>
          <w:rFonts w:hint="eastAsia" w:ascii="黑体" w:hAnsi="黑体" w:eastAsia="黑体"/>
          <w:snapToGrid w:val="0"/>
          <w:sz w:val="30"/>
          <w:szCs w:val="30"/>
        </w:rPr>
        <w:t>六、结论</w:t>
      </w: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7629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082BE7A7">
            <w:pPr>
              <w:spacing w:line="360" w:lineRule="auto"/>
              <w:ind w:firstLine="480" w:firstLineChars="200"/>
              <w:rPr>
                <w:rFonts w:ascii="宋体" w:cs="宋体"/>
                <w:sz w:val="24"/>
              </w:rPr>
            </w:pPr>
            <w:r>
              <w:rPr>
                <w:sz w:val="24"/>
              </w:rPr>
              <w:t>综上所述，</w:t>
            </w:r>
            <w:r>
              <w:rPr>
                <w:rFonts w:hint="eastAsia"/>
                <w:sz w:val="24"/>
              </w:rPr>
              <w:t>本项目</w:t>
            </w:r>
            <w:r>
              <w:rPr>
                <w:sz w:val="24"/>
              </w:rPr>
              <w:t>符合国家产业政策，</w:t>
            </w:r>
            <w:r>
              <w:rPr>
                <w:rFonts w:hint="eastAsia"/>
                <w:sz w:val="24"/>
              </w:rPr>
              <w:t>符合相关规划要求。评价认为，建设单位只要认真贯彻执行国家的环保法律、法规，在项目设计、施工和投产运行中切实落实本报告中提出的各项环保措施，确保污染治理设施的正常和稳定运行，严格执行环</w:t>
            </w:r>
            <w:r>
              <w:rPr>
                <w:sz w:val="24"/>
              </w:rPr>
              <w:t>保</w:t>
            </w:r>
            <w:r>
              <w:rPr>
                <w:rFonts w:hint="eastAsia"/>
                <w:sz w:val="24"/>
              </w:rPr>
              <w:t>“</w:t>
            </w:r>
            <w:r>
              <w:rPr>
                <w:sz w:val="24"/>
              </w:rPr>
              <w:t>三同时</w:t>
            </w:r>
            <w:r>
              <w:rPr>
                <w:rFonts w:hint="eastAsia"/>
                <w:sz w:val="24"/>
              </w:rPr>
              <w:t>”和排污许可的前提下，从环保角度讲，本项目的建设是可行的。</w:t>
            </w:r>
          </w:p>
        </w:tc>
      </w:tr>
    </w:tbl>
    <w:p w14:paraId="3CCB409B">
      <w:pPr>
        <w:rPr>
          <w:rFonts w:ascii="宋体"/>
        </w:rPr>
      </w:pPr>
    </w:p>
    <w:p w14:paraId="25DF233D">
      <w:pPr>
        <w:adjustRightInd w:val="0"/>
        <w:spacing w:line="360" w:lineRule="auto"/>
        <w:jc w:val="center"/>
        <w:textAlignment w:val="baseline"/>
        <w:outlineLvl w:val="0"/>
        <w:rPr>
          <w:b/>
          <w:sz w:val="48"/>
          <w:szCs w:val="48"/>
        </w:rPr>
        <w:sectPr>
          <w:pgSz w:w="11906" w:h="16838"/>
          <w:pgMar w:top="1440" w:right="1440" w:bottom="1440" w:left="1440" w:header="851" w:footer="851" w:gutter="0"/>
          <w:pgNumType w:fmt="numberInDash"/>
          <w:cols w:space="720" w:num="1"/>
          <w:docGrid w:linePitch="312" w:charSpace="0"/>
        </w:sectPr>
      </w:pPr>
    </w:p>
    <w:p w14:paraId="5DFD9053">
      <w:pPr>
        <w:pStyle w:val="34"/>
        <w:adjustRightInd w:val="0"/>
        <w:snapToGrid w:val="0"/>
        <w:spacing w:before="0" w:beforeAutospacing="0" w:after="0" w:afterAutospacing="0" w:line="360" w:lineRule="auto"/>
        <w:outlineLvl w:val="0"/>
        <w:rPr>
          <w:rFonts w:hint="eastAsia" w:ascii="黑体" w:hAnsi="黑体" w:eastAsia="黑体"/>
          <w:snapToGrid w:val="0"/>
          <w:sz w:val="32"/>
          <w:szCs w:val="32"/>
        </w:rPr>
      </w:pPr>
      <w:r>
        <w:rPr>
          <w:rFonts w:hint="eastAsia" w:ascii="黑体" w:hAnsi="黑体" w:eastAsia="黑体"/>
          <w:snapToGrid w:val="0"/>
          <w:sz w:val="32"/>
          <w:szCs w:val="32"/>
        </w:rPr>
        <w:t>附表</w:t>
      </w:r>
    </w:p>
    <w:p w14:paraId="6396B723">
      <w:pPr>
        <w:pStyle w:val="34"/>
        <w:adjustRightInd w:val="0"/>
        <w:snapToGrid w:val="0"/>
        <w:spacing w:before="0" w:beforeAutospacing="0" w:after="0" w:afterAutospacing="0" w:line="360" w:lineRule="auto"/>
        <w:jc w:val="center"/>
        <w:outlineLvl w:val="0"/>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3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843"/>
        <w:gridCol w:w="1701"/>
        <w:gridCol w:w="1276"/>
        <w:gridCol w:w="1559"/>
        <w:gridCol w:w="1418"/>
        <w:gridCol w:w="1559"/>
        <w:gridCol w:w="2268"/>
        <w:gridCol w:w="1002"/>
      </w:tblGrid>
      <w:tr w14:paraId="0BD681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tcBorders>
              <w:tl2br w:val="single" w:color="auto" w:sz="4" w:space="0"/>
            </w:tcBorders>
            <w:tcMar>
              <w:left w:w="28" w:type="dxa"/>
              <w:right w:w="28" w:type="dxa"/>
            </w:tcMar>
            <w:vAlign w:val="center"/>
          </w:tcPr>
          <w:p w14:paraId="27FCA4A4">
            <w:pPr>
              <w:pStyle w:val="81"/>
              <w:spacing w:beforeLines="0" w:afterLines="0" w:line="240" w:lineRule="auto"/>
              <w:jc w:val="right"/>
              <w:rPr>
                <w:rFonts w:ascii="Times New Roman"/>
                <w:snapToGrid w:val="0"/>
                <w:color w:val="000000"/>
                <w:spacing w:val="-6"/>
                <w:kern w:val="21"/>
                <w:szCs w:val="21"/>
              </w:rPr>
            </w:pPr>
            <w:r>
              <w:rPr>
                <w:rFonts w:ascii="Times New Roman"/>
                <w:snapToGrid w:val="0"/>
                <w:color w:val="000000"/>
                <w:spacing w:val="-6"/>
                <w:kern w:val="21"/>
                <w:szCs w:val="21"/>
              </w:rPr>
              <w:t>项目</w:t>
            </w:r>
          </w:p>
          <w:p w14:paraId="2244E2C6">
            <w:pPr>
              <w:pStyle w:val="81"/>
              <w:spacing w:beforeLines="0" w:afterLines="0" w:line="240" w:lineRule="auto"/>
              <w:jc w:val="left"/>
              <w:rPr>
                <w:rFonts w:ascii="Times New Roman"/>
                <w:snapToGrid w:val="0"/>
                <w:color w:val="000000"/>
                <w:spacing w:val="-6"/>
                <w:kern w:val="21"/>
                <w:szCs w:val="21"/>
              </w:rPr>
            </w:pPr>
            <w:r>
              <w:rPr>
                <w:rFonts w:ascii="Times New Roman"/>
                <w:snapToGrid w:val="0"/>
                <w:color w:val="000000"/>
                <w:spacing w:val="-6"/>
                <w:kern w:val="21"/>
                <w:szCs w:val="21"/>
              </w:rPr>
              <w:t>分类</w:t>
            </w:r>
          </w:p>
        </w:tc>
        <w:tc>
          <w:tcPr>
            <w:tcW w:w="1843" w:type="dxa"/>
            <w:tcMar>
              <w:left w:w="28" w:type="dxa"/>
              <w:right w:w="28" w:type="dxa"/>
            </w:tcMar>
            <w:vAlign w:val="center"/>
          </w:tcPr>
          <w:p w14:paraId="47BC8C70">
            <w:pPr>
              <w:pStyle w:val="8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污染物名称</w:t>
            </w:r>
          </w:p>
        </w:tc>
        <w:tc>
          <w:tcPr>
            <w:tcW w:w="1701" w:type="dxa"/>
            <w:tcMar>
              <w:left w:w="28" w:type="dxa"/>
              <w:right w:w="28" w:type="dxa"/>
            </w:tcMar>
            <w:vAlign w:val="center"/>
          </w:tcPr>
          <w:p w14:paraId="27647B9B">
            <w:pPr>
              <w:pStyle w:val="8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14:paraId="54E6B7C2">
            <w:pPr>
              <w:pStyle w:val="8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kern w:val="2"/>
                <w:szCs w:val="21"/>
              </w:rPr>
              <w:t>①</w:t>
            </w:r>
            <w:r>
              <w:rPr>
                <w:rFonts w:ascii="Times New Roman"/>
                <w:snapToGrid w:val="0"/>
                <w:color w:val="000000"/>
                <w:spacing w:val="-6"/>
                <w:kern w:val="21"/>
                <w:szCs w:val="21"/>
              </w:rPr>
              <w:fldChar w:fldCharType="end"/>
            </w:r>
          </w:p>
        </w:tc>
        <w:tc>
          <w:tcPr>
            <w:tcW w:w="1276" w:type="dxa"/>
            <w:tcMar>
              <w:left w:w="28" w:type="dxa"/>
              <w:right w:w="28" w:type="dxa"/>
            </w:tcMar>
            <w:vAlign w:val="center"/>
          </w:tcPr>
          <w:p w14:paraId="32246E23">
            <w:pPr>
              <w:pStyle w:val="8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14:paraId="3AA1F454">
            <w:pPr>
              <w:pStyle w:val="8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许可排放量</w:t>
            </w:r>
          </w:p>
          <w:p w14:paraId="72271C85">
            <w:pPr>
              <w:pStyle w:val="8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2 \* GB3 \* MERGEFORMAT </w:instrText>
            </w:r>
            <w:r>
              <w:rPr>
                <w:rFonts w:ascii="Times New Roman"/>
                <w:snapToGrid w:val="0"/>
                <w:color w:val="000000"/>
                <w:spacing w:val="-6"/>
                <w:kern w:val="21"/>
                <w:szCs w:val="21"/>
              </w:rPr>
              <w:fldChar w:fldCharType="separate"/>
            </w:r>
            <w:r>
              <w:rPr>
                <w:rFonts w:hint="eastAsia" w:hAnsi="宋体" w:cs="宋体"/>
                <w:snapToGrid w:val="0"/>
                <w:color w:val="000000"/>
                <w:spacing w:val="-6"/>
                <w:kern w:val="21"/>
                <w:szCs w:val="21"/>
              </w:rPr>
              <w:t>②</w:t>
            </w:r>
            <w:r>
              <w:rPr>
                <w:rFonts w:ascii="Times New Roman"/>
                <w:snapToGrid w:val="0"/>
                <w:color w:val="000000"/>
                <w:spacing w:val="-6"/>
                <w:kern w:val="21"/>
                <w:szCs w:val="21"/>
              </w:rPr>
              <w:fldChar w:fldCharType="end"/>
            </w:r>
          </w:p>
        </w:tc>
        <w:tc>
          <w:tcPr>
            <w:tcW w:w="1559" w:type="dxa"/>
            <w:tcMar>
              <w:left w:w="28" w:type="dxa"/>
              <w:right w:w="28" w:type="dxa"/>
            </w:tcMar>
            <w:vAlign w:val="center"/>
          </w:tcPr>
          <w:p w14:paraId="617E0AA2">
            <w:pPr>
              <w:pStyle w:val="8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在建工程</w:t>
            </w:r>
          </w:p>
          <w:p w14:paraId="3B6ACD7B">
            <w:pPr>
              <w:pStyle w:val="8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int="eastAsia" w:hAnsi="宋体" w:cs="宋体"/>
                <w:kern w:val="2"/>
                <w:szCs w:val="21"/>
              </w:rPr>
              <w:t>③</w:t>
            </w:r>
            <w:r>
              <w:rPr>
                <w:rFonts w:ascii="Times New Roman"/>
                <w:snapToGrid w:val="0"/>
                <w:color w:val="000000"/>
                <w:spacing w:val="-6"/>
                <w:kern w:val="21"/>
                <w:szCs w:val="21"/>
              </w:rPr>
              <w:fldChar w:fldCharType="end"/>
            </w:r>
          </w:p>
        </w:tc>
        <w:tc>
          <w:tcPr>
            <w:tcW w:w="1418" w:type="dxa"/>
            <w:tcMar>
              <w:left w:w="28" w:type="dxa"/>
              <w:right w:w="28" w:type="dxa"/>
            </w:tcMar>
            <w:vAlign w:val="center"/>
          </w:tcPr>
          <w:p w14:paraId="0B59BF5A">
            <w:pPr>
              <w:pStyle w:val="8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本项目</w:t>
            </w:r>
          </w:p>
          <w:p w14:paraId="0D0EA71B">
            <w:pPr>
              <w:pStyle w:val="8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int="eastAsia" w:hAnsi="宋体" w:cs="宋体"/>
                <w:kern w:val="2"/>
                <w:szCs w:val="21"/>
              </w:rPr>
              <w:t>④</w:t>
            </w:r>
            <w:r>
              <w:rPr>
                <w:rFonts w:ascii="Times New Roman"/>
                <w:snapToGrid w:val="0"/>
                <w:color w:val="000000"/>
                <w:spacing w:val="-6"/>
                <w:kern w:val="21"/>
                <w:szCs w:val="21"/>
              </w:rPr>
              <w:fldChar w:fldCharType="end"/>
            </w:r>
          </w:p>
        </w:tc>
        <w:tc>
          <w:tcPr>
            <w:tcW w:w="1559" w:type="dxa"/>
            <w:tcMar>
              <w:left w:w="28" w:type="dxa"/>
              <w:right w:w="28" w:type="dxa"/>
            </w:tcMar>
            <w:vAlign w:val="center"/>
          </w:tcPr>
          <w:p w14:paraId="062D6E42">
            <w:pPr>
              <w:pStyle w:val="81"/>
              <w:spacing w:beforeLines="0" w:afterLines="0" w:line="240" w:lineRule="auto"/>
              <w:rPr>
                <w:rFonts w:ascii="Times New Roman"/>
                <w:snapToGrid w:val="0"/>
                <w:color w:val="000000"/>
                <w:kern w:val="21"/>
                <w:szCs w:val="21"/>
              </w:rPr>
            </w:pPr>
            <w:r>
              <w:rPr>
                <w:rFonts w:ascii="Times New Roman"/>
                <w:snapToGrid w:val="0"/>
                <w:color w:val="000000"/>
                <w:kern w:val="21"/>
                <w:szCs w:val="21"/>
              </w:rPr>
              <w:t>以新带老削减量</w:t>
            </w:r>
          </w:p>
          <w:p w14:paraId="17EB9D57">
            <w:pPr>
              <w:pStyle w:val="81"/>
              <w:spacing w:beforeLines="0" w:afterLines="0" w:line="240" w:lineRule="auto"/>
              <w:rPr>
                <w:rFonts w:ascii="Times New Roman"/>
                <w:snapToGrid w:val="0"/>
                <w:color w:val="000000"/>
                <w:spacing w:val="-16"/>
                <w:kern w:val="21"/>
                <w:szCs w:val="21"/>
              </w:rPr>
            </w:pPr>
            <w:r>
              <w:rPr>
                <w:rFonts w:ascii="Times New Roman"/>
                <w:snapToGrid w:val="0"/>
                <w:color w:val="000000"/>
                <w:kern w:val="21"/>
                <w:szCs w:val="21"/>
              </w:rPr>
              <w:t>（新建项目不填）</w:t>
            </w:r>
            <w:r>
              <w:rPr>
                <w:rFonts w:ascii="Times New Roman"/>
                <w:snapToGrid w:val="0"/>
                <w:color w:val="000000"/>
                <w:kern w:val="21"/>
                <w:szCs w:val="21"/>
              </w:rPr>
              <w:fldChar w:fldCharType="begin"/>
            </w:r>
            <w:r>
              <w:rPr>
                <w:rFonts w:ascii="Times New Roman"/>
                <w:snapToGrid w:val="0"/>
                <w:color w:val="000000"/>
                <w:kern w:val="21"/>
                <w:szCs w:val="21"/>
              </w:rPr>
              <w:instrText xml:space="preserve"> = 5 \* GB3 \* MERGEFORMAT </w:instrText>
            </w:r>
            <w:r>
              <w:rPr>
                <w:rFonts w:ascii="Times New Roman"/>
                <w:snapToGrid w:val="0"/>
                <w:color w:val="000000"/>
                <w:kern w:val="21"/>
                <w:szCs w:val="21"/>
              </w:rPr>
              <w:fldChar w:fldCharType="separate"/>
            </w:r>
            <w:r>
              <w:rPr>
                <w:rFonts w:hint="eastAsia" w:hAnsi="宋体" w:cs="宋体"/>
                <w:kern w:val="2"/>
                <w:szCs w:val="21"/>
              </w:rPr>
              <w:t>⑤</w:t>
            </w:r>
            <w:r>
              <w:rPr>
                <w:rFonts w:ascii="Times New Roman"/>
                <w:snapToGrid w:val="0"/>
                <w:color w:val="000000"/>
                <w:kern w:val="21"/>
                <w:szCs w:val="21"/>
              </w:rPr>
              <w:fldChar w:fldCharType="end"/>
            </w:r>
          </w:p>
        </w:tc>
        <w:tc>
          <w:tcPr>
            <w:tcW w:w="2268" w:type="dxa"/>
            <w:tcMar>
              <w:left w:w="28" w:type="dxa"/>
              <w:right w:w="28" w:type="dxa"/>
            </w:tcMar>
            <w:vAlign w:val="center"/>
          </w:tcPr>
          <w:p w14:paraId="44FFD165">
            <w:pPr>
              <w:pStyle w:val="81"/>
              <w:spacing w:beforeLines="0" w:afterLines="0" w:line="240" w:lineRule="auto"/>
              <w:rPr>
                <w:rFonts w:ascii="Times New Roman"/>
                <w:snapToGrid w:val="0"/>
                <w:color w:val="000000"/>
                <w:kern w:val="21"/>
                <w:szCs w:val="21"/>
              </w:rPr>
            </w:pPr>
            <w:r>
              <w:rPr>
                <w:rFonts w:ascii="Times New Roman"/>
                <w:snapToGrid w:val="0"/>
                <w:color w:val="000000"/>
                <w:kern w:val="21"/>
                <w:szCs w:val="21"/>
              </w:rPr>
              <w:t>本项目建成后</w:t>
            </w:r>
          </w:p>
          <w:p w14:paraId="2510F1C6">
            <w:pPr>
              <w:pStyle w:val="81"/>
              <w:spacing w:beforeLines="0" w:afterLines="0" w:line="240" w:lineRule="auto"/>
              <w:rPr>
                <w:rFonts w:ascii="Times New Roman"/>
                <w:snapToGrid w:val="0"/>
                <w:color w:val="000000"/>
                <w:spacing w:val="-16"/>
                <w:kern w:val="21"/>
                <w:szCs w:val="21"/>
              </w:rPr>
            </w:pPr>
            <w:r>
              <w:rPr>
                <w:rFonts w:ascii="Times New Roman"/>
                <w:snapToGrid w:val="0"/>
                <w:color w:val="000000"/>
                <w:kern w:val="21"/>
                <w:szCs w:val="21"/>
              </w:rPr>
              <w:t>全厂排放量（固体废物产生量）</w:t>
            </w:r>
            <w:r>
              <w:rPr>
                <w:rFonts w:ascii="Times New Roman"/>
                <w:snapToGrid w:val="0"/>
                <w:color w:val="000000"/>
                <w:kern w:val="21"/>
                <w:szCs w:val="21"/>
              </w:rPr>
              <w:fldChar w:fldCharType="begin"/>
            </w:r>
            <w:r>
              <w:rPr>
                <w:rFonts w:ascii="Times New Roman"/>
                <w:snapToGrid w:val="0"/>
                <w:color w:val="000000"/>
                <w:kern w:val="21"/>
                <w:szCs w:val="21"/>
              </w:rPr>
              <w:instrText xml:space="preserve"> = 6 \* GB3 \* MERGEFORMAT </w:instrText>
            </w:r>
            <w:r>
              <w:rPr>
                <w:rFonts w:ascii="Times New Roman"/>
                <w:snapToGrid w:val="0"/>
                <w:color w:val="000000"/>
                <w:kern w:val="21"/>
                <w:szCs w:val="21"/>
              </w:rPr>
              <w:fldChar w:fldCharType="separate"/>
            </w:r>
            <w:r>
              <w:rPr>
                <w:rFonts w:hint="eastAsia" w:hAnsi="宋体" w:cs="宋体"/>
                <w:kern w:val="2"/>
                <w:szCs w:val="21"/>
              </w:rPr>
              <w:t>⑥</w:t>
            </w:r>
            <w:r>
              <w:rPr>
                <w:rFonts w:ascii="Times New Roman"/>
                <w:snapToGrid w:val="0"/>
                <w:color w:val="000000"/>
                <w:kern w:val="21"/>
                <w:szCs w:val="21"/>
              </w:rPr>
              <w:fldChar w:fldCharType="end"/>
            </w:r>
          </w:p>
        </w:tc>
        <w:tc>
          <w:tcPr>
            <w:tcW w:w="1002" w:type="dxa"/>
            <w:tcMar>
              <w:left w:w="28" w:type="dxa"/>
              <w:right w:w="28" w:type="dxa"/>
            </w:tcMar>
            <w:vAlign w:val="center"/>
          </w:tcPr>
          <w:p w14:paraId="161809DB">
            <w:pPr>
              <w:pStyle w:val="8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变化量</w:t>
            </w:r>
          </w:p>
          <w:p w14:paraId="333ED0A1">
            <w:pPr>
              <w:pStyle w:val="8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int="eastAsia" w:hAnsi="宋体" w:cs="宋体"/>
                <w:kern w:val="2"/>
                <w:szCs w:val="21"/>
              </w:rPr>
              <w:t>⑦</w:t>
            </w:r>
            <w:r>
              <w:rPr>
                <w:rFonts w:ascii="Times New Roman"/>
                <w:snapToGrid w:val="0"/>
                <w:color w:val="000000"/>
                <w:spacing w:val="-6"/>
                <w:kern w:val="21"/>
                <w:szCs w:val="21"/>
              </w:rPr>
              <w:fldChar w:fldCharType="end"/>
            </w:r>
          </w:p>
        </w:tc>
      </w:tr>
      <w:tr w14:paraId="1B6CD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Align w:val="center"/>
          </w:tcPr>
          <w:p w14:paraId="3F353952">
            <w:pPr>
              <w:pStyle w:val="81"/>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843" w:type="dxa"/>
            <w:vAlign w:val="center"/>
          </w:tcPr>
          <w:p w14:paraId="77E4C79E">
            <w:pPr>
              <w:pStyle w:val="81"/>
              <w:spacing w:beforeLines="0" w:afterLines="0" w:line="240" w:lineRule="auto"/>
              <w:rPr>
                <w:rFonts w:ascii="Times New Roman"/>
                <w:snapToGrid w:val="0"/>
                <w:color w:val="000000"/>
                <w:kern w:val="21"/>
                <w:szCs w:val="21"/>
              </w:rPr>
            </w:pPr>
            <w:r>
              <w:rPr>
                <w:rFonts w:hint="eastAsia" w:ascii="Times New Roman"/>
                <w:bCs/>
                <w:szCs w:val="21"/>
              </w:rPr>
              <w:t>颗粒物</w:t>
            </w:r>
          </w:p>
        </w:tc>
        <w:tc>
          <w:tcPr>
            <w:tcW w:w="1701" w:type="dxa"/>
            <w:vAlign w:val="center"/>
          </w:tcPr>
          <w:p w14:paraId="1ECAE785">
            <w:pPr>
              <w:pStyle w:val="81"/>
              <w:spacing w:beforeLines="0" w:afterLines="0" w:line="240" w:lineRule="auto"/>
              <w:rPr>
                <w:rFonts w:ascii="Times New Roman"/>
                <w:snapToGrid w:val="0"/>
                <w:color w:val="000000"/>
                <w:kern w:val="21"/>
                <w:szCs w:val="21"/>
              </w:rPr>
            </w:pPr>
          </w:p>
        </w:tc>
        <w:tc>
          <w:tcPr>
            <w:tcW w:w="1276" w:type="dxa"/>
            <w:vAlign w:val="center"/>
          </w:tcPr>
          <w:p w14:paraId="69209B2D">
            <w:pPr>
              <w:pStyle w:val="81"/>
              <w:spacing w:beforeLines="0" w:afterLines="0" w:line="240" w:lineRule="auto"/>
              <w:rPr>
                <w:rFonts w:ascii="Times New Roman"/>
                <w:snapToGrid w:val="0"/>
                <w:color w:val="000000"/>
                <w:kern w:val="21"/>
                <w:szCs w:val="21"/>
              </w:rPr>
            </w:pPr>
          </w:p>
        </w:tc>
        <w:tc>
          <w:tcPr>
            <w:tcW w:w="1559" w:type="dxa"/>
            <w:vAlign w:val="center"/>
          </w:tcPr>
          <w:p w14:paraId="22EE0097">
            <w:pPr>
              <w:pStyle w:val="81"/>
              <w:spacing w:beforeLines="0" w:afterLines="0" w:line="240" w:lineRule="auto"/>
              <w:rPr>
                <w:rFonts w:ascii="Times New Roman"/>
                <w:snapToGrid w:val="0"/>
                <w:color w:val="000000"/>
                <w:kern w:val="21"/>
                <w:szCs w:val="21"/>
              </w:rPr>
            </w:pPr>
          </w:p>
        </w:tc>
        <w:tc>
          <w:tcPr>
            <w:tcW w:w="1418" w:type="dxa"/>
            <w:vAlign w:val="center"/>
          </w:tcPr>
          <w:p w14:paraId="1F996245">
            <w:pPr>
              <w:pStyle w:val="81"/>
              <w:spacing w:beforeLines="0" w:afterLines="0" w:line="240" w:lineRule="auto"/>
              <w:rPr>
                <w:rFonts w:ascii="Times New Roman"/>
                <w:snapToGrid w:val="0"/>
                <w:color w:val="000000"/>
                <w:kern w:val="21"/>
                <w:szCs w:val="21"/>
              </w:rPr>
            </w:pPr>
            <w:r>
              <w:rPr>
                <w:rFonts w:ascii="Times New Roman"/>
                <w:color w:val="000000"/>
                <w:spacing w:val="4"/>
                <w:szCs w:val="21"/>
              </w:rPr>
              <w:t>1.</w:t>
            </w:r>
            <w:r>
              <w:rPr>
                <w:rFonts w:hint="eastAsia" w:ascii="Times New Roman"/>
                <w:color w:val="000000"/>
                <w:spacing w:val="4"/>
                <w:szCs w:val="21"/>
              </w:rPr>
              <w:t>077</w:t>
            </w:r>
            <w:r>
              <w:rPr>
                <w:rFonts w:ascii="Times New Roman"/>
              </w:rPr>
              <w:t>t/a</w:t>
            </w:r>
          </w:p>
        </w:tc>
        <w:tc>
          <w:tcPr>
            <w:tcW w:w="1559" w:type="dxa"/>
            <w:vAlign w:val="center"/>
          </w:tcPr>
          <w:p w14:paraId="5A5BBA7F">
            <w:pPr>
              <w:pStyle w:val="81"/>
              <w:spacing w:beforeLines="0" w:afterLines="0" w:line="240" w:lineRule="auto"/>
              <w:rPr>
                <w:rFonts w:ascii="Times New Roman"/>
                <w:snapToGrid w:val="0"/>
                <w:color w:val="000000"/>
                <w:kern w:val="21"/>
                <w:szCs w:val="21"/>
              </w:rPr>
            </w:pPr>
          </w:p>
        </w:tc>
        <w:tc>
          <w:tcPr>
            <w:tcW w:w="2268" w:type="dxa"/>
            <w:vAlign w:val="center"/>
          </w:tcPr>
          <w:p w14:paraId="0C0E7447">
            <w:pPr>
              <w:pStyle w:val="81"/>
              <w:spacing w:beforeLines="0" w:afterLines="0" w:line="240" w:lineRule="auto"/>
              <w:rPr>
                <w:rFonts w:ascii="Times New Roman"/>
                <w:snapToGrid w:val="0"/>
                <w:color w:val="000000"/>
                <w:kern w:val="21"/>
                <w:szCs w:val="21"/>
              </w:rPr>
            </w:pPr>
            <w:r>
              <w:rPr>
                <w:rFonts w:ascii="Times New Roman"/>
                <w:color w:val="000000"/>
                <w:spacing w:val="4"/>
                <w:szCs w:val="21"/>
              </w:rPr>
              <w:t>1.</w:t>
            </w:r>
            <w:r>
              <w:rPr>
                <w:rFonts w:hint="eastAsia" w:ascii="Times New Roman"/>
                <w:color w:val="000000"/>
                <w:spacing w:val="4"/>
                <w:szCs w:val="21"/>
              </w:rPr>
              <w:t>077</w:t>
            </w:r>
            <w:r>
              <w:rPr>
                <w:rFonts w:ascii="Times New Roman"/>
              </w:rPr>
              <w:t>t/a</w:t>
            </w:r>
          </w:p>
        </w:tc>
        <w:tc>
          <w:tcPr>
            <w:tcW w:w="1002" w:type="dxa"/>
            <w:vAlign w:val="center"/>
          </w:tcPr>
          <w:p w14:paraId="218F8EFA">
            <w:pPr>
              <w:pStyle w:val="81"/>
              <w:spacing w:beforeLines="0" w:afterLines="0" w:line="240" w:lineRule="auto"/>
              <w:rPr>
                <w:rFonts w:ascii="Times New Roman"/>
                <w:snapToGrid w:val="0"/>
                <w:color w:val="000000"/>
                <w:kern w:val="21"/>
                <w:szCs w:val="21"/>
              </w:rPr>
            </w:pPr>
          </w:p>
        </w:tc>
      </w:tr>
      <w:tr w14:paraId="58132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Align w:val="center"/>
          </w:tcPr>
          <w:p w14:paraId="3950104B">
            <w:pPr>
              <w:pStyle w:val="8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生活垃圾</w:t>
            </w:r>
          </w:p>
        </w:tc>
        <w:tc>
          <w:tcPr>
            <w:tcW w:w="1843" w:type="dxa"/>
            <w:vAlign w:val="center"/>
          </w:tcPr>
          <w:p w14:paraId="4F8DF146">
            <w:pPr>
              <w:pStyle w:val="81"/>
              <w:spacing w:beforeLines="0" w:afterLines="0" w:line="240" w:lineRule="auto"/>
              <w:rPr>
                <w:rFonts w:ascii="Times New Roman"/>
                <w:szCs w:val="21"/>
              </w:rPr>
            </w:pPr>
            <w:r>
              <w:rPr>
                <w:rFonts w:hint="eastAsia" w:ascii="Times New Roman"/>
                <w:snapToGrid w:val="0"/>
                <w:color w:val="000000"/>
                <w:kern w:val="21"/>
                <w:szCs w:val="21"/>
              </w:rPr>
              <w:t>生活垃圾</w:t>
            </w:r>
          </w:p>
        </w:tc>
        <w:tc>
          <w:tcPr>
            <w:tcW w:w="1701" w:type="dxa"/>
            <w:vAlign w:val="center"/>
          </w:tcPr>
          <w:p w14:paraId="136DF714">
            <w:pPr>
              <w:pStyle w:val="81"/>
              <w:spacing w:beforeLines="0" w:afterLines="0" w:line="240" w:lineRule="auto"/>
              <w:rPr>
                <w:rFonts w:ascii="Times New Roman"/>
                <w:snapToGrid w:val="0"/>
                <w:color w:val="000000"/>
                <w:kern w:val="21"/>
                <w:szCs w:val="21"/>
              </w:rPr>
            </w:pPr>
          </w:p>
        </w:tc>
        <w:tc>
          <w:tcPr>
            <w:tcW w:w="1276" w:type="dxa"/>
            <w:vAlign w:val="center"/>
          </w:tcPr>
          <w:p w14:paraId="7CAC7C46">
            <w:pPr>
              <w:pStyle w:val="81"/>
              <w:spacing w:beforeLines="0" w:afterLines="0" w:line="240" w:lineRule="auto"/>
              <w:rPr>
                <w:rFonts w:ascii="Times New Roman"/>
                <w:snapToGrid w:val="0"/>
                <w:color w:val="000000"/>
                <w:kern w:val="21"/>
                <w:szCs w:val="21"/>
              </w:rPr>
            </w:pPr>
          </w:p>
        </w:tc>
        <w:tc>
          <w:tcPr>
            <w:tcW w:w="1559" w:type="dxa"/>
            <w:vAlign w:val="center"/>
          </w:tcPr>
          <w:p w14:paraId="00288A9C">
            <w:pPr>
              <w:pStyle w:val="81"/>
              <w:spacing w:beforeLines="0" w:afterLines="0" w:line="240" w:lineRule="auto"/>
              <w:rPr>
                <w:rFonts w:ascii="Times New Roman"/>
                <w:snapToGrid w:val="0"/>
                <w:color w:val="000000"/>
                <w:kern w:val="21"/>
                <w:szCs w:val="21"/>
              </w:rPr>
            </w:pPr>
          </w:p>
        </w:tc>
        <w:tc>
          <w:tcPr>
            <w:tcW w:w="1418" w:type="dxa"/>
            <w:vAlign w:val="center"/>
          </w:tcPr>
          <w:p w14:paraId="2E5A3BD8">
            <w:pPr>
              <w:pStyle w:val="81"/>
              <w:spacing w:beforeLines="0" w:afterLines="0" w:line="240" w:lineRule="auto"/>
              <w:rPr>
                <w:rFonts w:ascii="Times New Roman"/>
                <w:szCs w:val="21"/>
              </w:rPr>
            </w:pPr>
            <w:r>
              <w:rPr>
                <w:rFonts w:ascii="Times New Roman"/>
                <w:szCs w:val="21"/>
              </w:rPr>
              <w:t>1.5</w:t>
            </w:r>
            <w:r>
              <w:rPr>
                <w:rFonts w:hint="eastAsia" w:ascii="Times New Roman"/>
                <w:szCs w:val="21"/>
              </w:rPr>
              <w:t>t</w:t>
            </w:r>
            <w:r>
              <w:rPr>
                <w:rFonts w:ascii="Times New Roman"/>
                <w:szCs w:val="21"/>
              </w:rPr>
              <w:t>/</w:t>
            </w:r>
            <w:r>
              <w:rPr>
                <w:rFonts w:hint="eastAsia" w:ascii="Times New Roman"/>
                <w:szCs w:val="21"/>
              </w:rPr>
              <w:t>a</w:t>
            </w:r>
          </w:p>
        </w:tc>
        <w:tc>
          <w:tcPr>
            <w:tcW w:w="1559" w:type="dxa"/>
            <w:vAlign w:val="center"/>
          </w:tcPr>
          <w:p w14:paraId="56B697A6">
            <w:pPr>
              <w:pStyle w:val="81"/>
              <w:spacing w:beforeLines="0" w:afterLines="0" w:line="240" w:lineRule="auto"/>
              <w:rPr>
                <w:rFonts w:ascii="Times New Roman"/>
                <w:snapToGrid w:val="0"/>
                <w:color w:val="000000"/>
                <w:kern w:val="21"/>
                <w:szCs w:val="21"/>
              </w:rPr>
            </w:pPr>
          </w:p>
        </w:tc>
        <w:tc>
          <w:tcPr>
            <w:tcW w:w="2268" w:type="dxa"/>
            <w:vAlign w:val="center"/>
          </w:tcPr>
          <w:p w14:paraId="35E49CCA">
            <w:pPr>
              <w:pStyle w:val="81"/>
              <w:spacing w:beforeLines="0" w:afterLines="0" w:line="240" w:lineRule="auto"/>
              <w:rPr>
                <w:rFonts w:ascii="Times New Roman"/>
                <w:szCs w:val="21"/>
              </w:rPr>
            </w:pPr>
            <w:r>
              <w:rPr>
                <w:rFonts w:ascii="Times New Roman"/>
                <w:szCs w:val="21"/>
              </w:rPr>
              <w:t>1.5</w:t>
            </w:r>
            <w:r>
              <w:rPr>
                <w:rFonts w:hint="eastAsia" w:ascii="Times New Roman"/>
                <w:szCs w:val="21"/>
              </w:rPr>
              <w:t>t</w:t>
            </w:r>
            <w:r>
              <w:rPr>
                <w:rFonts w:ascii="Times New Roman"/>
                <w:szCs w:val="21"/>
              </w:rPr>
              <w:t>/</w:t>
            </w:r>
            <w:r>
              <w:rPr>
                <w:rFonts w:hint="eastAsia" w:ascii="Times New Roman"/>
                <w:szCs w:val="21"/>
              </w:rPr>
              <w:t>a</w:t>
            </w:r>
          </w:p>
        </w:tc>
        <w:tc>
          <w:tcPr>
            <w:tcW w:w="1002" w:type="dxa"/>
            <w:vAlign w:val="center"/>
          </w:tcPr>
          <w:p w14:paraId="1E5FB0ED">
            <w:pPr>
              <w:pStyle w:val="81"/>
              <w:spacing w:beforeLines="0" w:afterLines="0" w:line="240" w:lineRule="auto"/>
              <w:rPr>
                <w:rFonts w:ascii="Times New Roman"/>
                <w:snapToGrid w:val="0"/>
                <w:color w:val="000000"/>
                <w:kern w:val="21"/>
                <w:szCs w:val="21"/>
              </w:rPr>
            </w:pPr>
          </w:p>
        </w:tc>
      </w:tr>
      <w:tr w14:paraId="78B10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Align w:val="center"/>
          </w:tcPr>
          <w:p w14:paraId="72100201">
            <w:pPr>
              <w:pStyle w:val="8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一般工业</w:t>
            </w:r>
          </w:p>
        </w:tc>
        <w:tc>
          <w:tcPr>
            <w:tcW w:w="1843" w:type="dxa"/>
            <w:vAlign w:val="center"/>
          </w:tcPr>
          <w:p w14:paraId="6B29C48A">
            <w:pPr>
              <w:pStyle w:val="8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除尘灰</w:t>
            </w:r>
          </w:p>
        </w:tc>
        <w:tc>
          <w:tcPr>
            <w:tcW w:w="1701" w:type="dxa"/>
            <w:vAlign w:val="center"/>
          </w:tcPr>
          <w:p w14:paraId="3C65DCCA">
            <w:pPr>
              <w:pStyle w:val="81"/>
              <w:spacing w:beforeLines="0" w:afterLines="0" w:line="240" w:lineRule="auto"/>
              <w:rPr>
                <w:rFonts w:ascii="Times New Roman"/>
                <w:snapToGrid w:val="0"/>
                <w:color w:val="000000"/>
                <w:kern w:val="21"/>
                <w:szCs w:val="21"/>
              </w:rPr>
            </w:pPr>
          </w:p>
        </w:tc>
        <w:tc>
          <w:tcPr>
            <w:tcW w:w="1276" w:type="dxa"/>
            <w:vAlign w:val="center"/>
          </w:tcPr>
          <w:p w14:paraId="2AD41890">
            <w:pPr>
              <w:pStyle w:val="81"/>
              <w:spacing w:beforeLines="0" w:afterLines="0" w:line="240" w:lineRule="auto"/>
              <w:rPr>
                <w:rFonts w:ascii="Times New Roman"/>
                <w:snapToGrid w:val="0"/>
                <w:color w:val="000000"/>
                <w:kern w:val="21"/>
                <w:szCs w:val="21"/>
              </w:rPr>
            </w:pPr>
          </w:p>
        </w:tc>
        <w:tc>
          <w:tcPr>
            <w:tcW w:w="1559" w:type="dxa"/>
            <w:vAlign w:val="center"/>
          </w:tcPr>
          <w:p w14:paraId="25BF045C">
            <w:pPr>
              <w:pStyle w:val="81"/>
              <w:spacing w:beforeLines="0" w:afterLines="0" w:line="240" w:lineRule="auto"/>
              <w:rPr>
                <w:rFonts w:ascii="Times New Roman"/>
                <w:snapToGrid w:val="0"/>
                <w:color w:val="000000"/>
                <w:kern w:val="21"/>
                <w:szCs w:val="21"/>
              </w:rPr>
            </w:pPr>
          </w:p>
        </w:tc>
        <w:tc>
          <w:tcPr>
            <w:tcW w:w="1418" w:type="dxa"/>
            <w:vAlign w:val="center"/>
          </w:tcPr>
          <w:p w14:paraId="2C17122B">
            <w:pPr>
              <w:pStyle w:val="81"/>
              <w:spacing w:beforeLines="0" w:afterLines="0" w:line="240" w:lineRule="auto"/>
              <w:rPr>
                <w:rFonts w:ascii="Times New Roman"/>
                <w:snapToGrid w:val="0"/>
                <w:color w:val="000000"/>
                <w:kern w:val="21"/>
                <w:szCs w:val="21"/>
              </w:rPr>
            </w:pPr>
            <w:r>
              <w:rPr>
                <w:rFonts w:hint="eastAsia" w:ascii="Times New Roman"/>
                <w:szCs w:val="21"/>
              </w:rPr>
              <w:t>91.1616t</w:t>
            </w:r>
            <w:r>
              <w:rPr>
                <w:rFonts w:ascii="Times New Roman"/>
                <w:szCs w:val="21"/>
              </w:rPr>
              <w:t>/</w:t>
            </w:r>
            <w:r>
              <w:rPr>
                <w:rFonts w:hint="eastAsia" w:ascii="Times New Roman"/>
                <w:szCs w:val="21"/>
              </w:rPr>
              <w:t>a</w:t>
            </w:r>
          </w:p>
        </w:tc>
        <w:tc>
          <w:tcPr>
            <w:tcW w:w="1559" w:type="dxa"/>
            <w:vAlign w:val="center"/>
          </w:tcPr>
          <w:p w14:paraId="0C20BFCF">
            <w:pPr>
              <w:pStyle w:val="81"/>
              <w:spacing w:beforeLines="0" w:afterLines="0" w:line="240" w:lineRule="auto"/>
              <w:rPr>
                <w:rFonts w:ascii="Times New Roman"/>
                <w:snapToGrid w:val="0"/>
                <w:color w:val="000000"/>
                <w:kern w:val="21"/>
                <w:szCs w:val="21"/>
              </w:rPr>
            </w:pPr>
          </w:p>
        </w:tc>
        <w:tc>
          <w:tcPr>
            <w:tcW w:w="2268" w:type="dxa"/>
            <w:vAlign w:val="center"/>
          </w:tcPr>
          <w:p w14:paraId="5F6B26EA">
            <w:pPr>
              <w:pStyle w:val="81"/>
              <w:spacing w:beforeLines="0" w:afterLines="0" w:line="240" w:lineRule="auto"/>
              <w:rPr>
                <w:rFonts w:ascii="Times New Roman"/>
                <w:snapToGrid w:val="0"/>
                <w:color w:val="000000"/>
                <w:kern w:val="21"/>
                <w:szCs w:val="21"/>
              </w:rPr>
            </w:pPr>
            <w:r>
              <w:rPr>
                <w:rFonts w:hint="eastAsia" w:ascii="Times New Roman"/>
                <w:szCs w:val="21"/>
              </w:rPr>
              <w:t>91.1616t</w:t>
            </w:r>
            <w:r>
              <w:rPr>
                <w:rFonts w:ascii="Times New Roman"/>
                <w:szCs w:val="21"/>
              </w:rPr>
              <w:t>/</w:t>
            </w:r>
            <w:r>
              <w:rPr>
                <w:rFonts w:hint="eastAsia" w:ascii="Times New Roman"/>
                <w:szCs w:val="21"/>
              </w:rPr>
              <w:t>a</w:t>
            </w:r>
          </w:p>
        </w:tc>
        <w:tc>
          <w:tcPr>
            <w:tcW w:w="1002" w:type="dxa"/>
            <w:vAlign w:val="center"/>
          </w:tcPr>
          <w:p w14:paraId="2CC0BA1F">
            <w:pPr>
              <w:pStyle w:val="81"/>
              <w:spacing w:beforeLines="0" w:afterLines="0" w:line="240" w:lineRule="auto"/>
              <w:rPr>
                <w:rFonts w:ascii="Times New Roman"/>
                <w:snapToGrid w:val="0"/>
                <w:color w:val="000000"/>
                <w:kern w:val="21"/>
                <w:szCs w:val="21"/>
              </w:rPr>
            </w:pPr>
          </w:p>
        </w:tc>
      </w:tr>
      <w:tr w14:paraId="11D287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restart"/>
            <w:vAlign w:val="center"/>
          </w:tcPr>
          <w:p w14:paraId="3B31EC65">
            <w:pPr>
              <w:pStyle w:val="81"/>
              <w:spacing w:beforeLines="0" w:afterLines="0" w:line="240" w:lineRule="auto"/>
              <w:rPr>
                <w:rFonts w:ascii="Times New Roman"/>
                <w:snapToGrid w:val="0"/>
                <w:color w:val="000000"/>
                <w:kern w:val="21"/>
                <w:szCs w:val="21"/>
              </w:rPr>
            </w:pPr>
            <w:r>
              <w:rPr>
                <w:rFonts w:ascii="Times New Roman"/>
                <w:snapToGrid w:val="0"/>
                <w:color w:val="000000"/>
                <w:kern w:val="21"/>
                <w:szCs w:val="21"/>
              </w:rPr>
              <w:t>危险废物</w:t>
            </w:r>
          </w:p>
        </w:tc>
        <w:tc>
          <w:tcPr>
            <w:tcW w:w="1843" w:type="dxa"/>
            <w:vAlign w:val="center"/>
          </w:tcPr>
          <w:p w14:paraId="0546B370">
            <w:pPr>
              <w:pStyle w:val="81"/>
              <w:spacing w:beforeLines="0" w:afterLines="0" w:line="240" w:lineRule="auto"/>
              <w:rPr>
                <w:rFonts w:ascii="Times New Roman"/>
                <w:snapToGrid w:val="0"/>
                <w:color w:val="000000"/>
                <w:kern w:val="21"/>
                <w:szCs w:val="21"/>
              </w:rPr>
            </w:pPr>
            <w:r>
              <w:rPr>
                <w:rFonts w:ascii="Times New Roman"/>
                <w:szCs w:val="21"/>
              </w:rPr>
              <w:t>废机油</w:t>
            </w:r>
            <w:r>
              <w:rPr>
                <w:rFonts w:hint="eastAsia" w:ascii="Times New Roman"/>
                <w:szCs w:val="21"/>
              </w:rPr>
              <w:t>、废油桶</w:t>
            </w:r>
          </w:p>
        </w:tc>
        <w:tc>
          <w:tcPr>
            <w:tcW w:w="1701" w:type="dxa"/>
            <w:vAlign w:val="center"/>
          </w:tcPr>
          <w:p w14:paraId="045E93E0">
            <w:pPr>
              <w:pStyle w:val="81"/>
              <w:spacing w:beforeLines="0" w:afterLines="0" w:line="240" w:lineRule="auto"/>
              <w:rPr>
                <w:rFonts w:ascii="Times New Roman"/>
                <w:snapToGrid w:val="0"/>
                <w:color w:val="000000"/>
                <w:kern w:val="21"/>
                <w:szCs w:val="21"/>
              </w:rPr>
            </w:pPr>
          </w:p>
        </w:tc>
        <w:tc>
          <w:tcPr>
            <w:tcW w:w="1276" w:type="dxa"/>
            <w:vAlign w:val="center"/>
          </w:tcPr>
          <w:p w14:paraId="3B5BB717">
            <w:pPr>
              <w:pStyle w:val="81"/>
              <w:spacing w:beforeLines="0" w:afterLines="0" w:line="240" w:lineRule="auto"/>
              <w:rPr>
                <w:rFonts w:ascii="Times New Roman"/>
                <w:snapToGrid w:val="0"/>
                <w:color w:val="000000"/>
                <w:kern w:val="21"/>
                <w:szCs w:val="21"/>
              </w:rPr>
            </w:pPr>
          </w:p>
        </w:tc>
        <w:tc>
          <w:tcPr>
            <w:tcW w:w="1559" w:type="dxa"/>
            <w:vAlign w:val="center"/>
          </w:tcPr>
          <w:p w14:paraId="488BC878">
            <w:pPr>
              <w:pStyle w:val="81"/>
              <w:spacing w:beforeLines="0" w:afterLines="0" w:line="240" w:lineRule="auto"/>
              <w:rPr>
                <w:rFonts w:ascii="Times New Roman"/>
                <w:snapToGrid w:val="0"/>
                <w:color w:val="000000"/>
                <w:kern w:val="21"/>
                <w:szCs w:val="21"/>
              </w:rPr>
            </w:pPr>
          </w:p>
        </w:tc>
        <w:tc>
          <w:tcPr>
            <w:tcW w:w="1418" w:type="dxa"/>
            <w:vAlign w:val="center"/>
          </w:tcPr>
          <w:p w14:paraId="359678A3">
            <w:pPr>
              <w:pStyle w:val="81"/>
              <w:spacing w:beforeLines="0" w:afterLines="0" w:line="240" w:lineRule="auto"/>
              <w:rPr>
                <w:rFonts w:ascii="Times New Roman"/>
                <w:snapToGrid w:val="0"/>
                <w:color w:val="000000"/>
                <w:kern w:val="21"/>
                <w:szCs w:val="21"/>
              </w:rPr>
            </w:pPr>
            <w:r>
              <w:rPr>
                <w:rFonts w:ascii="Times New Roman"/>
                <w:szCs w:val="21"/>
              </w:rPr>
              <w:t>0.5t/a</w:t>
            </w:r>
          </w:p>
        </w:tc>
        <w:tc>
          <w:tcPr>
            <w:tcW w:w="1559" w:type="dxa"/>
            <w:vAlign w:val="center"/>
          </w:tcPr>
          <w:p w14:paraId="689EE545">
            <w:pPr>
              <w:pStyle w:val="81"/>
              <w:spacing w:beforeLines="0" w:afterLines="0" w:line="240" w:lineRule="auto"/>
              <w:rPr>
                <w:rFonts w:ascii="Times New Roman"/>
                <w:snapToGrid w:val="0"/>
                <w:color w:val="000000"/>
                <w:kern w:val="21"/>
                <w:szCs w:val="21"/>
              </w:rPr>
            </w:pPr>
          </w:p>
        </w:tc>
        <w:tc>
          <w:tcPr>
            <w:tcW w:w="2268" w:type="dxa"/>
            <w:vAlign w:val="center"/>
          </w:tcPr>
          <w:p w14:paraId="32CE8306">
            <w:pPr>
              <w:pStyle w:val="81"/>
              <w:spacing w:beforeLines="0" w:afterLines="0" w:line="240" w:lineRule="auto"/>
              <w:rPr>
                <w:rFonts w:ascii="Times New Roman"/>
                <w:snapToGrid w:val="0"/>
                <w:color w:val="000000"/>
                <w:kern w:val="21"/>
                <w:szCs w:val="21"/>
              </w:rPr>
            </w:pPr>
            <w:r>
              <w:rPr>
                <w:rFonts w:ascii="Times New Roman"/>
                <w:szCs w:val="21"/>
              </w:rPr>
              <w:t>0.5t/a</w:t>
            </w:r>
          </w:p>
        </w:tc>
        <w:tc>
          <w:tcPr>
            <w:tcW w:w="1002" w:type="dxa"/>
            <w:vAlign w:val="center"/>
          </w:tcPr>
          <w:p w14:paraId="378559CB">
            <w:pPr>
              <w:pStyle w:val="81"/>
              <w:spacing w:beforeLines="0" w:afterLines="0" w:line="240" w:lineRule="auto"/>
              <w:rPr>
                <w:rFonts w:ascii="Times New Roman"/>
                <w:snapToGrid w:val="0"/>
                <w:color w:val="000000"/>
                <w:kern w:val="21"/>
                <w:szCs w:val="21"/>
              </w:rPr>
            </w:pPr>
          </w:p>
        </w:tc>
      </w:tr>
      <w:tr w14:paraId="01457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continue"/>
            <w:vAlign w:val="center"/>
          </w:tcPr>
          <w:p w14:paraId="54ACDEC1">
            <w:pPr>
              <w:pStyle w:val="81"/>
              <w:spacing w:beforeLines="0" w:afterLines="0" w:line="240" w:lineRule="auto"/>
              <w:rPr>
                <w:rFonts w:ascii="Times New Roman"/>
                <w:snapToGrid w:val="0"/>
                <w:color w:val="000000"/>
                <w:kern w:val="21"/>
                <w:szCs w:val="21"/>
              </w:rPr>
            </w:pPr>
          </w:p>
        </w:tc>
        <w:tc>
          <w:tcPr>
            <w:tcW w:w="1843" w:type="dxa"/>
            <w:vAlign w:val="center"/>
          </w:tcPr>
          <w:p w14:paraId="06EA6E34">
            <w:pPr>
              <w:pStyle w:val="8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废润滑油</w:t>
            </w:r>
          </w:p>
        </w:tc>
        <w:tc>
          <w:tcPr>
            <w:tcW w:w="1701" w:type="dxa"/>
            <w:vAlign w:val="center"/>
          </w:tcPr>
          <w:p w14:paraId="6A927D6E">
            <w:pPr>
              <w:pStyle w:val="81"/>
              <w:spacing w:beforeLines="0" w:afterLines="0" w:line="240" w:lineRule="auto"/>
              <w:rPr>
                <w:rFonts w:ascii="Times New Roman"/>
                <w:snapToGrid w:val="0"/>
                <w:color w:val="000000"/>
                <w:kern w:val="21"/>
                <w:szCs w:val="21"/>
              </w:rPr>
            </w:pPr>
          </w:p>
        </w:tc>
        <w:tc>
          <w:tcPr>
            <w:tcW w:w="1276" w:type="dxa"/>
            <w:vAlign w:val="center"/>
          </w:tcPr>
          <w:p w14:paraId="10E2DC2D">
            <w:pPr>
              <w:pStyle w:val="81"/>
              <w:spacing w:beforeLines="0" w:afterLines="0" w:line="240" w:lineRule="auto"/>
              <w:rPr>
                <w:rFonts w:ascii="Times New Roman"/>
                <w:snapToGrid w:val="0"/>
                <w:color w:val="000000"/>
                <w:kern w:val="21"/>
                <w:szCs w:val="21"/>
              </w:rPr>
            </w:pPr>
          </w:p>
        </w:tc>
        <w:tc>
          <w:tcPr>
            <w:tcW w:w="1559" w:type="dxa"/>
            <w:vAlign w:val="center"/>
          </w:tcPr>
          <w:p w14:paraId="6A255D72">
            <w:pPr>
              <w:pStyle w:val="81"/>
              <w:spacing w:beforeLines="0" w:afterLines="0" w:line="240" w:lineRule="auto"/>
              <w:rPr>
                <w:rFonts w:ascii="Times New Roman"/>
                <w:snapToGrid w:val="0"/>
                <w:color w:val="000000"/>
                <w:kern w:val="21"/>
                <w:szCs w:val="21"/>
              </w:rPr>
            </w:pPr>
          </w:p>
        </w:tc>
        <w:tc>
          <w:tcPr>
            <w:tcW w:w="1418" w:type="dxa"/>
            <w:vAlign w:val="center"/>
          </w:tcPr>
          <w:p w14:paraId="367ED9F9">
            <w:pPr>
              <w:pStyle w:val="81"/>
              <w:spacing w:beforeLines="0" w:afterLines="0" w:line="240" w:lineRule="auto"/>
              <w:rPr>
                <w:rFonts w:ascii="Times New Roman"/>
                <w:snapToGrid w:val="0"/>
                <w:color w:val="000000"/>
                <w:kern w:val="21"/>
                <w:szCs w:val="21"/>
              </w:rPr>
            </w:pPr>
            <w:r>
              <w:rPr>
                <w:rFonts w:ascii="Times New Roman"/>
                <w:snapToGrid w:val="0"/>
                <w:color w:val="000000"/>
                <w:kern w:val="21"/>
                <w:szCs w:val="21"/>
              </w:rPr>
              <w:t>0.01</w:t>
            </w:r>
            <w:r>
              <w:rPr>
                <w:rFonts w:hint="eastAsia" w:ascii="Times New Roman"/>
                <w:snapToGrid w:val="0"/>
                <w:color w:val="000000"/>
                <w:kern w:val="21"/>
                <w:szCs w:val="21"/>
              </w:rPr>
              <w:t>t</w:t>
            </w:r>
            <w:r>
              <w:rPr>
                <w:rFonts w:ascii="Times New Roman"/>
                <w:snapToGrid w:val="0"/>
                <w:color w:val="000000"/>
                <w:kern w:val="21"/>
                <w:szCs w:val="21"/>
              </w:rPr>
              <w:t>/</w:t>
            </w:r>
            <w:r>
              <w:rPr>
                <w:rFonts w:hint="eastAsia" w:ascii="Times New Roman"/>
                <w:snapToGrid w:val="0"/>
                <w:color w:val="000000"/>
                <w:kern w:val="21"/>
                <w:szCs w:val="21"/>
              </w:rPr>
              <w:t>a</w:t>
            </w:r>
          </w:p>
        </w:tc>
        <w:tc>
          <w:tcPr>
            <w:tcW w:w="1559" w:type="dxa"/>
            <w:vAlign w:val="center"/>
          </w:tcPr>
          <w:p w14:paraId="3B7CED17">
            <w:pPr>
              <w:pStyle w:val="81"/>
              <w:spacing w:beforeLines="0" w:afterLines="0" w:line="240" w:lineRule="auto"/>
              <w:rPr>
                <w:rFonts w:ascii="Times New Roman"/>
                <w:snapToGrid w:val="0"/>
                <w:color w:val="000000"/>
                <w:kern w:val="21"/>
                <w:szCs w:val="21"/>
              </w:rPr>
            </w:pPr>
          </w:p>
        </w:tc>
        <w:tc>
          <w:tcPr>
            <w:tcW w:w="2268" w:type="dxa"/>
            <w:vAlign w:val="center"/>
          </w:tcPr>
          <w:p w14:paraId="42A057B5">
            <w:pPr>
              <w:pStyle w:val="81"/>
              <w:spacing w:beforeLines="0" w:afterLines="0" w:line="240" w:lineRule="auto"/>
              <w:rPr>
                <w:rFonts w:ascii="Times New Roman"/>
                <w:snapToGrid w:val="0"/>
                <w:color w:val="000000"/>
                <w:kern w:val="21"/>
                <w:szCs w:val="21"/>
              </w:rPr>
            </w:pPr>
            <w:r>
              <w:rPr>
                <w:rFonts w:ascii="Times New Roman"/>
                <w:snapToGrid w:val="0"/>
                <w:color w:val="000000"/>
                <w:kern w:val="21"/>
                <w:szCs w:val="21"/>
              </w:rPr>
              <w:t>0.01</w:t>
            </w:r>
            <w:r>
              <w:rPr>
                <w:rFonts w:hint="eastAsia" w:ascii="Times New Roman"/>
                <w:snapToGrid w:val="0"/>
                <w:color w:val="000000"/>
                <w:kern w:val="21"/>
                <w:szCs w:val="21"/>
              </w:rPr>
              <w:t>t</w:t>
            </w:r>
            <w:r>
              <w:rPr>
                <w:rFonts w:ascii="Times New Roman"/>
                <w:snapToGrid w:val="0"/>
                <w:color w:val="000000"/>
                <w:kern w:val="21"/>
                <w:szCs w:val="21"/>
              </w:rPr>
              <w:t>/</w:t>
            </w:r>
            <w:r>
              <w:rPr>
                <w:rFonts w:hint="eastAsia" w:ascii="Times New Roman"/>
                <w:snapToGrid w:val="0"/>
                <w:color w:val="000000"/>
                <w:kern w:val="21"/>
                <w:szCs w:val="21"/>
              </w:rPr>
              <w:t>a</w:t>
            </w:r>
          </w:p>
        </w:tc>
        <w:tc>
          <w:tcPr>
            <w:tcW w:w="1002" w:type="dxa"/>
            <w:vAlign w:val="center"/>
          </w:tcPr>
          <w:p w14:paraId="1C51981E">
            <w:pPr>
              <w:pStyle w:val="81"/>
              <w:spacing w:beforeLines="0" w:afterLines="0" w:line="240" w:lineRule="auto"/>
              <w:rPr>
                <w:rFonts w:ascii="Times New Roman"/>
                <w:snapToGrid w:val="0"/>
                <w:color w:val="000000"/>
                <w:kern w:val="21"/>
                <w:szCs w:val="21"/>
              </w:rPr>
            </w:pPr>
          </w:p>
        </w:tc>
      </w:tr>
      <w:tr w14:paraId="56BF1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continue"/>
            <w:vAlign w:val="center"/>
          </w:tcPr>
          <w:p w14:paraId="60EBE114">
            <w:pPr>
              <w:pStyle w:val="81"/>
              <w:spacing w:beforeLines="0" w:afterLines="0" w:line="240" w:lineRule="auto"/>
              <w:rPr>
                <w:rFonts w:ascii="Times New Roman"/>
                <w:snapToGrid w:val="0"/>
                <w:color w:val="000000"/>
                <w:kern w:val="21"/>
                <w:szCs w:val="21"/>
              </w:rPr>
            </w:pPr>
          </w:p>
        </w:tc>
        <w:tc>
          <w:tcPr>
            <w:tcW w:w="1843" w:type="dxa"/>
            <w:vAlign w:val="center"/>
          </w:tcPr>
          <w:p w14:paraId="54269C19">
            <w:pPr>
              <w:pStyle w:val="8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含油手套、棉纱</w:t>
            </w:r>
          </w:p>
        </w:tc>
        <w:tc>
          <w:tcPr>
            <w:tcW w:w="1701" w:type="dxa"/>
            <w:vAlign w:val="center"/>
          </w:tcPr>
          <w:p w14:paraId="683F5C99">
            <w:pPr>
              <w:pStyle w:val="81"/>
              <w:spacing w:beforeLines="0" w:afterLines="0" w:line="240" w:lineRule="auto"/>
              <w:rPr>
                <w:rFonts w:ascii="Times New Roman"/>
                <w:snapToGrid w:val="0"/>
                <w:color w:val="000000"/>
                <w:kern w:val="21"/>
                <w:szCs w:val="21"/>
              </w:rPr>
            </w:pPr>
          </w:p>
        </w:tc>
        <w:tc>
          <w:tcPr>
            <w:tcW w:w="1276" w:type="dxa"/>
            <w:vAlign w:val="center"/>
          </w:tcPr>
          <w:p w14:paraId="61D03A8A">
            <w:pPr>
              <w:pStyle w:val="81"/>
              <w:spacing w:beforeLines="0" w:afterLines="0" w:line="240" w:lineRule="auto"/>
              <w:rPr>
                <w:rFonts w:ascii="Times New Roman"/>
                <w:snapToGrid w:val="0"/>
                <w:color w:val="000000"/>
                <w:kern w:val="21"/>
                <w:szCs w:val="21"/>
              </w:rPr>
            </w:pPr>
          </w:p>
        </w:tc>
        <w:tc>
          <w:tcPr>
            <w:tcW w:w="1559" w:type="dxa"/>
            <w:vAlign w:val="center"/>
          </w:tcPr>
          <w:p w14:paraId="0C629BA0">
            <w:pPr>
              <w:pStyle w:val="81"/>
              <w:spacing w:beforeLines="0" w:afterLines="0" w:line="240" w:lineRule="auto"/>
              <w:rPr>
                <w:rFonts w:ascii="Times New Roman"/>
                <w:snapToGrid w:val="0"/>
                <w:color w:val="000000"/>
                <w:kern w:val="21"/>
                <w:szCs w:val="21"/>
              </w:rPr>
            </w:pPr>
          </w:p>
        </w:tc>
        <w:tc>
          <w:tcPr>
            <w:tcW w:w="1418" w:type="dxa"/>
            <w:vAlign w:val="center"/>
          </w:tcPr>
          <w:p w14:paraId="3DF8F449">
            <w:pPr>
              <w:pStyle w:val="81"/>
              <w:spacing w:beforeLines="0" w:afterLines="0" w:line="240" w:lineRule="auto"/>
              <w:rPr>
                <w:rFonts w:ascii="Times New Roman"/>
                <w:snapToGrid w:val="0"/>
                <w:color w:val="000000"/>
                <w:kern w:val="21"/>
                <w:szCs w:val="21"/>
              </w:rPr>
            </w:pPr>
            <w:r>
              <w:rPr>
                <w:rFonts w:ascii="Times New Roman"/>
                <w:szCs w:val="21"/>
              </w:rPr>
              <w:t>0.05t/a</w:t>
            </w:r>
          </w:p>
        </w:tc>
        <w:tc>
          <w:tcPr>
            <w:tcW w:w="1559" w:type="dxa"/>
            <w:vAlign w:val="center"/>
          </w:tcPr>
          <w:p w14:paraId="12C05FFA">
            <w:pPr>
              <w:pStyle w:val="81"/>
              <w:spacing w:beforeLines="0" w:afterLines="0" w:line="240" w:lineRule="auto"/>
              <w:rPr>
                <w:rFonts w:ascii="Times New Roman"/>
                <w:snapToGrid w:val="0"/>
                <w:color w:val="000000"/>
                <w:kern w:val="21"/>
                <w:szCs w:val="21"/>
              </w:rPr>
            </w:pPr>
          </w:p>
        </w:tc>
        <w:tc>
          <w:tcPr>
            <w:tcW w:w="2268" w:type="dxa"/>
            <w:vAlign w:val="center"/>
          </w:tcPr>
          <w:p w14:paraId="792EA9EC">
            <w:pPr>
              <w:pStyle w:val="81"/>
              <w:spacing w:beforeLines="0" w:afterLines="0" w:line="240" w:lineRule="auto"/>
              <w:rPr>
                <w:rFonts w:ascii="Times New Roman"/>
                <w:snapToGrid w:val="0"/>
                <w:color w:val="000000"/>
                <w:kern w:val="21"/>
                <w:szCs w:val="21"/>
              </w:rPr>
            </w:pPr>
            <w:r>
              <w:rPr>
                <w:rFonts w:ascii="Times New Roman"/>
                <w:szCs w:val="21"/>
              </w:rPr>
              <w:t>0.05t/a</w:t>
            </w:r>
          </w:p>
        </w:tc>
        <w:tc>
          <w:tcPr>
            <w:tcW w:w="1002" w:type="dxa"/>
            <w:vAlign w:val="center"/>
          </w:tcPr>
          <w:p w14:paraId="0E39B41B">
            <w:pPr>
              <w:pStyle w:val="81"/>
              <w:spacing w:beforeLines="0" w:afterLines="0" w:line="240" w:lineRule="auto"/>
              <w:rPr>
                <w:rFonts w:ascii="Times New Roman"/>
                <w:snapToGrid w:val="0"/>
                <w:color w:val="000000"/>
                <w:kern w:val="21"/>
                <w:szCs w:val="21"/>
              </w:rPr>
            </w:pPr>
          </w:p>
        </w:tc>
      </w:tr>
    </w:tbl>
    <w:p w14:paraId="1B93F100">
      <w:pPr>
        <w:sectPr>
          <w:headerReference r:id="rId9" w:type="default"/>
          <w:footerReference r:id="rId10" w:type="default"/>
          <w:pgSz w:w="16838" w:h="11906" w:orient="landscape"/>
          <w:pgMar w:top="1531" w:right="1701" w:bottom="1531" w:left="1701" w:header="851" w:footer="851" w:gutter="0"/>
          <w:cols w:space="720" w:num="1"/>
          <w:docGrid w:linePitch="312" w:charSpace="0"/>
        </w:sectPr>
      </w:pPr>
      <w:r>
        <w:rPr>
          <w:rFonts w:hAnsi="宋体"/>
          <w:snapToGrid w:val="0"/>
          <w:color w:val="000000"/>
          <w:kern w:val="21"/>
          <w:szCs w:val="21"/>
        </w:rPr>
        <w:t>注：</w:t>
      </w:r>
      <w:r>
        <w:rPr>
          <w:rFonts w:ascii="宋体"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ascii="宋体" w:hAnsi="宋体"/>
          <w:snapToGrid w:val="0"/>
          <w:color w:val="000000"/>
          <w:spacing w:val="-16"/>
          <w:kern w:val="21"/>
          <w:szCs w:val="21"/>
        </w:rPr>
        <w:fldChar w:fldCharType="separate"/>
      </w:r>
      <w:r>
        <w:rPr>
          <w:rFonts w:hint="eastAsia" w:hAnsi="宋体"/>
          <w:szCs w:val="21"/>
        </w:rPr>
        <w:t>⑥</w:t>
      </w:r>
      <w:r>
        <w:rPr>
          <w:rFonts w:ascii="宋体" w:hAnsi="宋体"/>
          <w:snapToGrid w:val="0"/>
          <w:color w:val="000000"/>
          <w:spacing w:val="-16"/>
          <w:kern w:val="21"/>
          <w:szCs w:val="21"/>
        </w:rPr>
        <w:fldChar w:fldCharType="end"/>
      </w:r>
      <w:r>
        <w:rPr>
          <w:rFonts w:hAnsi="宋体"/>
          <w:snapToGrid w:val="0"/>
          <w:color w:val="000000"/>
          <w:spacing w:val="-16"/>
          <w:kern w:val="21"/>
          <w:szCs w:val="21"/>
        </w:rPr>
        <w:t>=</w:t>
      </w:r>
      <w:r>
        <w:rPr>
          <w:rFonts w:ascii="宋体"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ascii="宋体" w:hAnsi="宋体"/>
          <w:snapToGrid w:val="0"/>
          <w:color w:val="000000"/>
          <w:spacing w:val="-6"/>
          <w:kern w:val="21"/>
          <w:szCs w:val="21"/>
        </w:rPr>
        <w:fldChar w:fldCharType="separate"/>
      </w:r>
      <w:r>
        <w:rPr>
          <w:rFonts w:hint="eastAsia" w:hAnsi="宋体"/>
          <w:szCs w:val="21"/>
        </w:rPr>
        <w:t>①</w:t>
      </w:r>
      <w:r>
        <w:rPr>
          <w:rFonts w:ascii="宋体" w:hAnsi="宋体"/>
          <w:snapToGrid w:val="0"/>
          <w:color w:val="000000"/>
          <w:spacing w:val="-6"/>
          <w:kern w:val="21"/>
          <w:szCs w:val="21"/>
        </w:rPr>
        <w:fldChar w:fldCharType="end"/>
      </w:r>
      <w:r>
        <w:rPr>
          <w:rFonts w:hAnsi="宋体"/>
          <w:snapToGrid w:val="0"/>
          <w:color w:val="000000"/>
          <w:spacing w:val="-6"/>
          <w:kern w:val="21"/>
          <w:szCs w:val="21"/>
        </w:rPr>
        <w:t>+</w:t>
      </w:r>
      <w:r>
        <w:rPr>
          <w:rFonts w:ascii="宋体"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ascii="宋体" w:hAnsi="宋体"/>
          <w:snapToGrid w:val="0"/>
          <w:color w:val="000000"/>
          <w:spacing w:val="-6"/>
          <w:kern w:val="21"/>
          <w:szCs w:val="21"/>
        </w:rPr>
        <w:fldChar w:fldCharType="separate"/>
      </w:r>
      <w:r>
        <w:rPr>
          <w:rFonts w:hint="eastAsia" w:hAnsi="宋体"/>
          <w:szCs w:val="21"/>
        </w:rPr>
        <w:t>③</w:t>
      </w:r>
      <w:r>
        <w:rPr>
          <w:rFonts w:ascii="宋体" w:hAnsi="宋体"/>
          <w:snapToGrid w:val="0"/>
          <w:color w:val="000000"/>
          <w:spacing w:val="-6"/>
          <w:kern w:val="21"/>
          <w:szCs w:val="21"/>
        </w:rPr>
        <w:fldChar w:fldCharType="end"/>
      </w:r>
      <w:r>
        <w:rPr>
          <w:rFonts w:hAnsi="宋体"/>
          <w:snapToGrid w:val="0"/>
          <w:color w:val="000000"/>
          <w:spacing w:val="-6"/>
          <w:kern w:val="21"/>
          <w:szCs w:val="21"/>
        </w:rPr>
        <w:t>+</w:t>
      </w:r>
      <w:r>
        <w:rPr>
          <w:rFonts w:ascii="宋体"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ascii="宋体" w:hAnsi="宋体"/>
          <w:snapToGrid w:val="0"/>
          <w:color w:val="000000"/>
          <w:spacing w:val="-6"/>
          <w:kern w:val="21"/>
          <w:szCs w:val="21"/>
        </w:rPr>
        <w:fldChar w:fldCharType="separate"/>
      </w:r>
      <w:r>
        <w:rPr>
          <w:rFonts w:hint="eastAsia" w:hAnsi="宋体"/>
          <w:szCs w:val="21"/>
        </w:rPr>
        <w:t>④</w:t>
      </w:r>
      <w:r>
        <w:rPr>
          <w:rFonts w:ascii="宋体" w:hAnsi="宋体"/>
          <w:snapToGrid w:val="0"/>
          <w:color w:val="000000"/>
          <w:spacing w:val="-6"/>
          <w:kern w:val="21"/>
          <w:szCs w:val="21"/>
        </w:rPr>
        <w:fldChar w:fldCharType="end"/>
      </w:r>
      <w:r>
        <w:rPr>
          <w:rFonts w:hAnsi="宋体"/>
          <w:snapToGrid w:val="0"/>
          <w:color w:val="000000"/>
          <w:spacing w:val="-6"/>
          <w:kern w:val="21"/>
          <w:szCs w:val="21"/>
        </w:rPr>
        <w:t>-</w:t>
      </w:r>
      <w:r>
        <w:rPr>
          <w:rFonts w:ascii="宋体"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ascii="宋体" w:hAnsi="宋体"/>
          <w:snapToGrid w:val="0"/>
          <w:color w:val="000000"/>
          <w:spacing w:val="-16"/>
          <w:kern w:val="21"/>
          <w:szCs w:val="21"/>
        </w:rPr>
        <w:fldChar w:fldCharType="separate"/>
      </w:r>
      <w:r>
        <w:rPr>
          <w:rFonts w:hint="eastAsia" w:hAnsi="宋体"/>
          <w:szCs w:val="21"/>
        </w:rPr>
        <w:t>⑤</w:t>
      </w:r>
      <w:r>
        <w:rPr>
          <w:rFonts w:ascii="宋体" w:hAnsi="宋体"/>
          <w:snapToGrid w:val="0"/>
          <w:color w:val="000000"/>
          <w:spacing w:val="-16"/>
          <w:kern w:val="21"/>
          <w:szCs w:val="21"/>
        </w:rPr>
        <w:fldChar w:fldCharType="end"/>
      </w:r>
      <w:r>
        <w:rPr>
          <w:rFonts w:hAnsi="宋体"/>
          <w:snapToGrid w:val="0"/>
          <w:color w:val="000000"/>
          <w:spacing w:val="-16"/>
          <w:kern w:val="21"/>
          <w:szCs w:val="21"/>
        </w:rPr>
        <w:t>；</w:t>
      </w:r>
      <w:r>
        <w:rPr>
          <w:rFonts w:ascii="宋体"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ascii="宋体" w:hAnsi="宋体"/>
          <w:snapToGrid w:val="0"/>
          <w:color w:val="000000"/>
          <w:spacing w:val="-6"/>
          <w:kern w:val="21"/>
          <w:szCs w:val="21"/>
        </w:rPr>
        <w:fldChar w:fldCharType="separate"/>
      </w:r>
      <w:r>
        <w:rPr>
          <w:rFonts w:hint="eastAsia" w:hAnsi="宋体"/>
          <w:szCs w:val="21"/>
        </w:rPr>
        <w:t>⑦</w:t>
      </w:r>
      <w:r>
        <w:rPr>
          <w:rFonts w:ascii="宋体" w:hAnsi="宋体"/>
          <w:snapToGrid w:val="0"/>
          <w:color w:val="000000"/>
          <w:spacing w:val="-6"/>
          <w:kern w:val="21"/>
          <w:szCs w:val="21"/>
        </w:rPr>
        <w:fldChar w:fldCharType="end"/>
      </w:r>
      <w:r>
        <w:rPr>
          <w:rFonts w:hAnsi="宋体"/>
          <w:snapToGrid w:val="0"/>
          <w:color w:val="000000"/>
          <w:spacing w:val="-6"/>
          <w:kern w:val="21"/>
          <w:szCs w:val="21"/>
        </w:rPr>
        <w:t>=</w:t>
      </w:r>
      <w:r>
        <w:rPr>
          <w:rFonts w:ascii="宋体"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ascii="宋体" w:hAnsi="宋体"/>
          <w:snapToGrid w:val="0"/>
          <w:color w:val="000000"/>
          <w:spacing w:val="-16"/>
          <w:kern w:val="21"/>
          <w:szCs w:val="21"/>
        </w:rPr>
        <w:fldChar w:fldCharType="separate"/>
      </w:r>
      <w:r>
        <w:rPr>
          <w:rFonts w:hint="eastAsia" w:hAnsi="宋体"/>
          <w:szCs w:val="21"/>
        </w:rPr>
        <w:t>⑥</w:t>
      </w:r>
      <w:r>
        <w:rPr>
          <w:rFonts w:ascii="宋体" w:hAnsi="宋体"/>
          <w:snapToGrid w:val="0"/>
          <w:color w:val="000000"/>
          <w:spacing w:val="-16"/>
          <w:kern w:val="21"/>
          <w:szCs w:val="21"/>
        </w:rPr>
        <w:fldChar w:fldCharType="end"/>
      </w:r>
      <w:r>
        <w:rPr>
          <w:rFonts w:hAnsi="宋体"/>
          <w:snapToGrid w:val="0"/>
          <w:color w:val="000000"/>
          <w:spacing w:val="-16"/>
          <w:kern w:val="21"/>
          <w:szCs w:val="21"/>
        </w:rPr>
        <w:t>-</w:t>
      </w:r>
      <w:r>
        <w:rPr>
          <w:rFonts w:ascii="宋体"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ascii="宋体" w:hAnsi="宋体"/>
          <w:snapToGrid w:val="0"/>
          <w:color w:val="000000"/>
          <w:spacing w:val="-6"/>
          <w:kern w:val="21"/>
          <w:szCs w:val="21"/>
        </w:rPr>
        <w:fldChar w:fldCharType="separate"/>
      </w:r>
      <w:r>
        <w:rPr>
          <w:rFonts w:hint="eastAsia" w:hAnsi="宋体"/>
          <w:szCs w:val="21"/>
        </w:rPr>
        <w:t>①</w:t>
      </w:r>
      <w:r>
        <w:rPr>
          <w:rFonts w:ascii="宋体" w:hAnsi="宋体"/>
          <w:snapToGrid w:val="0"/>
          <w:color w:val="000000"/>
          <w:spacing w:val="-6"/>
          <w:kern w:val="21"/>
          <w:szCs w:val="21"/>
        </w:rPr>
        <w:fldChar w:fldCharType="end"/>
      </w:r>
    </w:p>
    <w:p w14:paraId="6C1FA5AE">
      <w:pPr>
        <w:jc w:val="center"/>
        <w:rPr>
          <w:b/>
          <w:bCs/>
        </w:rPr>
      </w:pPr>
    </w:p>
    <w:p w14:paraId="2217C4D7">
      <w:pPr>
        <w:jc w:val="center"/>
        <w:rPr>
          <w:b/>
          <w:bCs/>
        </w:rPr>
      </w:pPr>
    </w:p>
    <w:p w14:paraId="0A83AE4D">
      <w:pPr>
        <w:rPr>
          <w:b/>
          <w:bCs/>
        </w:rPr>
      </w:pPr>
      <w:bookmarkStart w:id="26" w:name="_GoBack"/>
      <w:bookmarkEnd w:id="26"/>
    </w:p>
    <w:sectPr>
      <w:footerReference r:id="rId11"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华文新魏">
    <w:panose1 w:val="02010800040101010101"/>
    <w:charset w:val="86"/>
    <w:family w:val="auto"/>
    <w:pitch w:val="default"/>
    <w:sig w:usb0="00000001" w:usb1="080F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imesNewRomanPS-BoldMT">
    <w:altName w:val="Times New Roman"/>
    <w:panose1 w:val="00000000000000000000"/>
    <w:charset w:val="00"/>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TimesNewRomanPSMT">
    <w:altName w:val="等线"/>
    <w:panose1 w:val="00000000000000000000"/>
    <w:charset w:val="0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汉鼎简书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κ">
    <w:altName w:val="宋体"/>
    <w:panose1 w:val="00000000000000000000"/>
    <w:charset w:val="86"/>
    <w:family w:val="roma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BF15D">
    <w:pPr>
      <w:pStyle w:val="2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66BA1">
    <w:pPr>
      <w:pStyle w:val="24"/>
      <w:framePr w:wrap="around" w:vAnchor="text" w:hAnchor="margin" w:xAlign="center" w:y="1"/>
      <w:rPr>
        <w:rStyle w:val="43"/>
      </w:rPr>
    </w:pPr>
    <w:r>
      <w:fldChar w:fldCharType="begin"/>
    </w:r>
    <w:r>
      <w:rPr>
        <w:rStyle w:val="43"/>
      </w:rPr>
      <w:instrText xml:space="preserve">PAGE  </w:instrText>
    </w:r>
    <w:r>
      <w:fldChar w:fldCharType="separate"/>
    </w:r>
    <w:r>
      <w:rPr>
        <w:rStyle w:val="43"/>
      </w:rPr>
      <w:t>3</w:t>
    </w:r>
    <w:r>
      <w:fldChar w:fldCharType="end"/>
    </w:r>
  </w:p>
  <w:p w14:paraId="148C02C4">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96DE">
    <w:pPr>
      <w:pStyle w:val="2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77</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9093">
    <w:pPr>
      <w:pStyle w:val="24"/>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49A57">
    <w:pPr>
      <w:pStyle w:val="24"/>
      <w:jc w:val="center"/>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97038">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2C3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B87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6EAF">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01FEE"/>
    <w:multiLevelType w:val="singleLevel"/>
    <w:tmpl w:val="DEE01FEE"/>
    <w:lvl w:ilvl="0" w:tentative="0">
      <w:start w:val="1"/>
      <w:numFmt w:val="decimal"/>
      <w:suff w:val="nothing"/>
      <w:lvlText w:val="%1、"/>
      <w:lvlJc w:val="left"/>
    </w:lvl>
  </w:abstractNum>
  <w:abstractNum w:abstractNumId="1">
    <w:nsid w:val="E19E46DF"/>
    <w:multiLevelType w:val="singleLevel"/>
    <w:tmpl w:val="E19E46DF"/>
    <w:lvl w:ilvl="0" w:tentative="0">
      <w:start w:val="1"/>
      <w:numFmt w:val="decimal"/>
      <w:suff w:val="nothing"/>
      <w:lvlText w:val="%1、"/>
      <w:lvlJc w:val="left"/>
    </w:lvl>
  </w:abstractNum>
  <w:abstractNum w:abstractNumId="2">
    <w:nsid w:val="E4B24722"/>
    <w:multiLevelType w:val="singleLevel"/>
    <w:tmpl w:val="E4B2472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rawingGridHorizontalSpacing w:val="105"/>
  <w:drawingGridVerticalSpacing w:val="156"/>
  <w:displayHorizontalDrawingGridEvery w:val="2"/>
  <w:displayVertic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NzQxYjc3ZWFhZjE2YzVhN2NhYTdlYTIyODI1OTUifQ=="/>
  </w:docVars>
  <w:rsids>
    <w:rsidRoot w:val="00A14947"/>
    <w:rsid w:val="0000041D"/>
    <w:rsid w:val="00000C61"/>
    <w:rsid w:val="00000F50"/>
    <w:rsid w:val="00002688"/>
    <w:rsid w:val="00003945"/>
    <w:rsid w:val="00004440"/>
    <w:rsid w:val="00004BCF"/>
    <w:rsid w:val="000052A8"/>
    <w:rsid w:val="00005320"/>
    <w:rsid w:val="0000558E"/>
    <w:rsid w:val="000060B3"/>
    <w:rsid w:val="000104FB"/>
    <w:rsid w:val="000117EA"/>
    <w:rsid w:val="00011BF0"/>
    <w:rsid w:val="00011D88"/>
    <w:rsid w:val="00011DB4"/>
    <w:rsid w:val="00011ED0"/>
    <w:rsid w:val="00012458"/>
    <w:rsid w:val="00012E59"/>
    <w:rsid w:val="000138AC"/>
    <w:rsid w:val="00013CC1"/>
    <w:rsid w:val="00014394"/>
    <w:rsid w:val="00016105"/>
    <w:rsid w:val="00016531"/>
    <w:rsid w:val="000169B2"/>
    <w:rsid w:val="00016B74"/>
    <w:rsid w:val="00017CFC"/>
    <w:rsid w:val="00020772"/>
    <w:rsid w:val="00020BF9"/>
    <w:rsid w:val="00020FC2"/>
    <w:rsid w:val="00021269"/>
    <w:rsid w:val="00022532"/>
    <w:rsid w:val="000226E1"/>
    <w:rsid w:val="00022C57"/>
    <w:rsid w:val="00022CFC"/>
    <w:rsid w:val="0002348F"/>
    <w:rsid w:val="0002391D"/>
    <w:rsid w:val="00023A15"/>
    <w:rsid w:val="0002426F"/>
    <w:rsid w:val="00024667"/>
    <w:rsid w:val="00024D59"/>
    <w:rsid w:val="00025234"/>
    <w:rsid w:val="00025A44"/>
    <w:rsid w:val="00025CAB"/>
    <w:rsid w:val="00027299"/>
    <w:rsid w:val="0002797C"/>
    <w:rsid w:val="00027C30"/>
    <w:rsid w:val="00030518"/>
    <w:rsid w:val="00030C95"/>
    <w:rsid w:val="00030CD2"/>
    <w:rsid w:val="00030F03"/>
    <w:rsid w:val="000310B7"/>
    <w:rsid w:val="00031652"/>
    <w:rsid w:val="000317A0"/>
    <w:rsid w:val="00031F23"/>
    <w:rsid w:val="00032367"/>
    <w:rsid w:val="00032426"/>
    <w:rsid w:val="00032581"/>
    <w:rsid w:val="00034656"/>
    <w:rsid w:val="00034998"/>
    <w:rsid w:val="00034B1F"/>
    <w:rsid w:val="00035C2A"/>
    <w:rsid w:val="00035C3A"/>
    <w:rsid w:val="00035D0C"/>
    <w:rsid w:val="00036851"/>
    <w:rsid w:val="000378A8"/>
    <w:rsid w:val="00037D4B"/>
    <w:rsid w:val="000406E4"/>
    <w:rsid w:val="0004265A"/>
    <w:rsid w:val="00042D85"/>
    <w:rsid w:val="00043189"/>
    <w:rsid w:val="00043339"/>
    <w:rsid w:val="00043623"/>
    <w:rsid w:val="0004364B"/>
    <w:rsid w:val="00044016"/>
    <w:rsid w:val="00044712"/>
    <w:rsid w:val="00044B12"/>
    <w:rsid w:val="00044BFC"/>
    <w:rsid w:val="00044EA6"/>
    <w:rsid w:val="00044F4E"/>
    <w:rsid w:val="00046954"/>
    <w:rsid w:val="00046B17"/>
    <w:rsid w:val="00047798"/>
    <w:rsid w:val="000505C3"/>
    <w:rsid w:val="00051061"/>
    <w:rsid w:val="00052741"/>
    <w:rsid w:val="000527CE"/>
    <w:rsid w:val="00052AC0"/>
    <w:rsid w:val="000549EA"/>
    <w:rsid w:val="00054DF4"/>
    <w:rsid w:val="000553F4"/>
    <w:rsid w:val="0005553A"/>
    <w:rsid w:val="00055831"/>
    <w:rsid w:val="00055A44"/>
    <w:rsid w:val="00055F51"/>
    <w:rsid w:val="00056937"/>
    <w:rsid w:val="00056CDC"/>
    <w:rsid w:val="00057869"/>
    <w:rsid w:val="00060DF0"/>
    <w:rsid w:val="00060EA3"/>
    <w:rsid w:val="00061805"/>
    <w:rsid w:val="00061B1F"/>
    <w:rsid w:val="00062691"/>
    <w:rsid w:val="000630FC"/>
    <w:rsid w:val="000636F0"/>
    <w:rsid w:val="00063778"/>
    <w:rsid w:val="000638C9"/>
    <w:rsid w:val="00064361"/>
    <w:rsid w:val="0006497E"/>
    <w:rsid w:val="00065D32"/>
    <w:rsid w:val="00066972"/>
    <w:rsid w:val="00066A17"/>
    <w:rsid w:val="000676E3"/>
    <w:rsid w:val="00067E81"/>
    <w:rsid w:val="000702AD"/>
    <w:rsid w:val="0007035F"/>
    <w:rsid w:val="000708AA"/>
    <w:rsid w:val="000720CC"/>
    <w:rsid w:val="000723A8"/>
    <w:rsid w:val="00072484"/>
    <w:rsid w:val="00072673"/>
    <w:rsid w:val="00072682"/>
    <w:rsid w:val="00072E7B"/>
    <w:rsid w:val="000733C4"/>
    <w:rsid w:val="00073D8F"/>
    <w:rsid w:val="000740DF"/>
    <w:rsid w:val="000743B3"/>
    <w:rsid w:val="000746BF"/>
    <w:rsid w:val="00074783"/>
    <w:rsid w:val="000747CC"/>
    <w:rsid w:val="000753F6"/>
    <w:rsid w:val="000755C0"/>
    <w:rsid w:val="00075808"/>
    <w:rsid w:val="00075B52"/>
    <w:rsid w:val="00075C2C"/>
    <w:rsid w:val="00075FE4"/>
    <w:rsid w:val="00076D49"/>
    <w:rsid w:val="000774B7"/>
    <w:rsid w:val="00077973"/>
    <w:rsid w:val="00077BE1"/>
    <w:rsid w:val="00077CD0"/>
    <w:rsid w:val="00080026"/>
    <w:rsid w:val="0008070B"/>
    <w:rsid w:val="00080C5F"/>
    <w:rsid w:val="00080CFA"/>
    <w:rsid w:val="000810AC"/>
    <w:rsid w:val="00081A02"/>
    <w:rsid w:val="00082231"/>
    <w:rsid w:val="000822B9"/>
    <w:rsid w:val="00082EF0"/>
    <w:rsid w:val="00083708"/>
    <w:rsid w:val="00085051"/>
    <w:rsid w:val="00087033"/>
    <w:rsid w:val="00087203"/>
    <w:rsid w:val="00087CCF"/>
    <w:rsid w:val="00087F3A"/>
    <w:rsid w:val="0009055C"/>
    <w:rsid w:val="00090C0D"/>
    <w:rsid w:val="00090FBF"/>
    <w:rsid w:val="000913AC"/>
    <w:rsid w:val="00091C87"/>
    <w:rsid w:val="000922AE"/>
    <w:rsid w:val="00092447"/>
    <w:rsid w:val="000927CC"/>
    <w:rsid w:val="00092D38"/>
    <w:rsid w:val="0009377B"/>
    <w:rsid w:val="0009396F"/>
    <w:rsid w:val="00094928"/>
    <w:rsid w:val="00094B36"/>
    <w:rsid w:val="000950E2"/>
    <w:rsid w:val="000955F0"/>
    <w:rsid w:val="000958E1"/>
    <w:rsid w:val="000964A3"/>
    <w:rsid w:val="0009687A"/>
    <w:rsid w:val="000970B1"/>
    <w:rsid w:val="00097B34"/>
    <w:rsid w:val="00097F2C"/>
    <w:rsid w:val="00097FCA"/>
    <w:rsid w:val="00097FDA"/>
    <w:rsid w:val="000A08D7"/>
    <w:rsid w:val="000A0F42"/>
    <w:rsid w:val="000A20C9"/>
    <w:rsid w:val="000A29CF"/>
    <w:rsid w:val="000A31B5"/>
    <w:rsid w:val="000A31ED"/>
    <w:rsid w:val="000A391A"/>
    <w:rsid w:val="000A3D72"/>
    <w:rsid w:val="000A47F1"/>
    <w:rsid w:val="000A4AFF"/>
    <w:rsid w:val="000A4E02"/>
    <w:rsid w:val="000A5741"/>
    <w:rsid w:val="000A6C10"/>
    <w:rsid w:val="000A718F"/>
    <w:rsid w:val="000A7363"/>
    <w:rsid w:val="000A7C2A"/>
    <w:rsid w:val="000B0473"/>
    <w:rsid w:val="000B058F"/>
    <w:rsid w:val="000B0D6F"/>
    <w:rsid w:val="000B0FDC"/>
    <w:rsid w:val="000B1309"/>
    <w:rsid w:val="000B323A"/>
    <w:rsid w:val="000B39C1"/>
    <w:rsid w:val="000B3E1B"/>
    <w:rsid w:val="000B4467"/>
    <w:rsid w:val="000B4567"/>
    <w:rsid w:val="000B4DB9"/>
    <w:rsid w:val="000B527C"/>
    <w:rsid w:val="000B5A65"/>
    <w:rsid w:val="000B7312"/>
    <w:rsid w:val="000B74E2"/>
    <w:rsid w:val="000B7C24"/>
    <w:rsid w:val="000C08B5"/>
    <w:rsid w:val="000C09AC"/>
    <w:rsid w:val="000C0BC0"/>
    <w:rsid w:val="000C1FE5"/>
    <w:rsid w:val="000C212A"/>
    <w:rsid w:val="000C2C3B"/>
    <w:rsid w:val="000C3125"/>
    <w:rsid w:val="000C3D1E"/>
    <w:rsid w:val="000C3E33"/>
    <w:rsid w:val="000C3F00"/>
    <w:rsid w:val="000C41FF"/>
    <w:rsid w:val="000C4718"/>
    <w:rsid w:val="000C4C14"/>
    <w:rsid w:val="000C4D05"/>
    <w:rsid w:val="000C500C"/>
    <w:rsid w:val="000C5295"/>
    <w:rsid w:val="000C68CA"/>
    <w:rsid w:val="000C7087"/>
    <w:rsid w:val="000C7378"/>
    <w:rsid w:val="000C767F"/>
    <w:rsid w:val="000C786F"/>
    <w:rsid w:val="000D0868"/>
    <w:rsid w:val="000D0B60"/>
    <w:rsid w:val="000D0F5D"/>
    <w:rsid w:val="000D1079"/>
    <w:rsid w:val="000D125F"/>
    <w:rsid w:val="000D17B3"/>
    <w:rsid w:val="000D20DE"/>
    <w:rsid w:val="000D2244"/>
    <w:rsid w:val="000D22C0"/>
    <w:rsid w:val="000D250A"/>
    <w:rsid w:val="000D323A"/>
    <w:rsid w:val="000D53EF"/>
    <w:rsid w:val="000D5A44"/>
    <w:rsid w:val="000D5E4E"/>
    <w:rsid w:val="000D619F"/>
    <w:rsid w:val="000D6600"/>
    <w:rsid w:val="000D7415"/>
    <w:rsid w:val="000D797C"/>
    <w:rsid w:val="000E0F61"/>
    <w:rsid w:val="000E3ED2"/>
    <w:rsid w:val="000E4D4B"/>
    <w:rsid w:val="000E526E"/>
    <w:rsid w:val="000E573B"/>
    <w:rsid w:val="000E6047"/>
    <w:rsid w:val="000E64E5"/>
    <w:rsid w:val="000E6512"/>
    <w:rsid w:val="000E7329"/>
    <w:rsid w:val="000E7A0A"/>
    <w:rsid w:val="000F0877"/>
    <w:rsid w:val="000F1540"/>
    <w:rsid w:val="000F1E36"/>
    <w:rsid w:val="000F1E48"/>
    <w:rsid w:val="000F2E61"/>
    <w:rsid w:val="000F2F80"/>
    <w:rsid w:val="000F4B8E"/>
    <w:rsid w:val="000F4CF1"/>
    <w:rsid w:val="000F590B"/>
    <w:rsid w:val="000F5C01"/>
    <w:rsid w:val="000F63CB"/>
    <w:rsid w:val="000F732D"/>
    <w:rsid w:val="000F7488"/>
    <w:rsid w:val="001001DE"/>
    <w:rsid w:val="00100381"/>
    <w:rsid w:val="001008FB"/>
    <w:rsid w:val="00100936"/>
    <w:rsid w:val="00100A46"/>
    <w:rsid w:val="00100C93"/>
    <w:rsid w:val="001016C1"/>
    <w:rsid w:val="0010175F"/>
    <w:rsid w:val="001029CB"/>
    <w:rsid w:val="00102AFD"/>
    <w:rsid w:val="001031DE"/>
    <w:rsid w:val="001031E8"/>
    <w:rsid w:val="001032B1"/>
    <w:rsid w:val="001038E2"/>
    <w:rsid w:val="00104806"/>
    <w:rsid w:val="00104CA2"/>
    <w:rsid w:val="00104CC0"/>
    <w:rsid w:val="00105141"/>
    <w:rsid w:val="00105279"/>
    <w:rsid w:val="00105ECC"/>
    <w:rsid w:val="001060A8"/>
    <w:rsid w:val="001068D3"/>
    <w:rsid w:val="00106EC8"/>
    <w:rsid w:val="00106EE4"/>
    <w:rsid w:val="00107069"/>
    <w:rsid w:val="0011039C"/>
    <w:rsid w:val="00110BDB"/>
    <w:rsid w:val="001120AE"/>
    <w:rsid w:val="001121E1"/>
    <w:rsid w:val="001139D6"/>
    <w:rsid w:val="00113D0F"/>
    <w:rsid w:val="001141B6"/>
    <w:rsid w:val="00115019"/>
    <w:rsid w:val="001150BD"/>
    <w:rsid w:val="001151EA"/>
    <w:rsid w:val="00115201"/>
    <w:rsid w:val="0011526E"/>
    <w:rsid w:val="00116D1C"/>
    <w:rsid w:val="00116DCA"/>
    <w:rsid w:val="00116FEA"/>
    <w:rsid w:val="00117121"/>
    <w:rsid w:val="001173B6"/>
    <w:rsid w:val="001200C9"/>
    <w:rsid w:val="001201F0"/>
    <w:rsid w:val="00120802"/>
    <w:rsid w:val="00120AAF"/>
    <w:rsid w:val="00121AC0"/>
    <w:rsid w:val="00121E01"/>
    <w:rsid w:val="00122497"/>
    <w:rsid w:val="001226AD"/>
    <w:rsid w:val="00122956"/>
    <w:rsid w:val="00122D22"/>
    <w:rsid w:val="00123507"/>
    <w:rsid w:val="001235F7"/>
    <w:rsid w:val="00123791"/>
    <w:rsid w:val="00123E7A"/>
    <w:rsid w:val="00123F3A"/>
    <w:rsid w:val="00124E45"/>
    <w:rsid w:val="00125DC9"/>
    <w:rsid w:val="00125E9D"/>
    <w:rsid w:val="00126242"/>
    <w:rsid w:val="0012673B"/>
    <w:rsid w:val="0012694A"/>
    <w:rsid w:val="00126A27"/>
    <w:rsid w:val="00127379"/>
    <w:rsid w:val="00127A26"/>
    <w:rsid w:val="00127E05"/>
    <w:rsid w:val="00127FD7"/>
    <w:rsid w:val="00130451"/>
    <w:rsid w:val="00130BF0"/>
    <w:rsid w:val="00131642"/>
    <w:rsid w:val="00131D1E"/>
    <w:rsid w:val="00131F42"/>
    <w:rsid w:val="0013242A"/>
    <w:rsid w:val="001324E8"/>
    <w:rsid w:val="00132DCA"/>
    <w:rsid w:val="001338D1"/>
    <w:rsid w:val="00133D0F"/>
    <w:rsid w:val="00134DCD"/>
    <w:rsid w:val="00134FCF"/>
    <w:rsid w:val="001357F1"/>
    <w:rsid w:val="00135A12"/>
    <w:rsid w:val="00135CA8"/>
    <w:rsid w:val="00135ECE"/>
    <w:rsid w:val="001367A3"/>
    <w:rsid w:val="00136D0F"/>
    <w:rsid w:val="00137329"/>
    <w:rsid w:val="001378D9"/>
    <w:rsid w:val="00137B3A"/>
    <w:rsid w:val="00137BAA"/>
    <w:rsid w:val="00137DF1"/>
    <w:rsid w:val="001404C3"/>
    <w:rsid w:val="0014094F"/>
    <w:rsid w:val="00140B08"/>
    <w:rsid w:val="00140B0C"/>
    <w:rsid w:val="00140FA8"/>
    <w:rsid w:val="00141CF1"/>
    <w:rsid w:val="00142791"/>
    <w:rsid w:val="00142C47"/>
    <w:rsid w:val="00142DC4"/>
    <w:rsid w:val="00142F85"/>
    <w:rsid w:val="00142FEB"/>
    <w:rsid w:val="00143611"/>
    <w:rsid w:val="00143A2D"/>
    <w:rsid w:val="00144013"/>
    <w:rsid w:val="001447B1"/>
    <w:rsid w:val="001452CD"/>
    <w:rsid w:val="00145A41"/>
    <w:rsid w:val="00145C5C"/>
    <w:rsid w:val="00145CF8"/>
    <w:rsid w:val="00145D17"/>
    <w:rsid w:val="00145E67"/>
    <w:rsid w:val="0014622B"/>
    <w:rsid w:val="001465CD"/>
    <w:rsid w:val="001468C7"/>
    <w:rsid w:val="001478AC"/>
    <w:rsid w:val="00150B16"/>
    <w:rsid w:val="00150B2E"/>
    <w:rsid w:val="00150E60"/>
    <w:rsid w:val="001513BB"/>
    <w:rsid w:val="00151675"/>
    <w:rsid w:val="001517F1"/>
    <w:rsid w:val="00152E79"/>
    <w:rsid w:val="00153046"/>
    <w:rsid w:val="00153313"/>
    <w:rsid w:val="0015360A"/>
    <w:rsid w:val="00154A82"/>
    <w:rsid w:val="00154BD5"/>
    <w:rsid w:val="00155584"/>
    <w:rsid w:val="001564E1"/>
    <w:rsid w:val="001567D7"/>
    <w:rsid w:val="00156E32"/>
    <w:rsid w:val="00157435"/>
    <w:rsid w:val="00157FB1"/>
    <w:rsid w:val="0016075C"/>
    <w:rsid w:val="00160A5A"/>
    <w:rsid w:val="00160ECE"/>
    <w:rsid w:val="00161B4D"/>
    <w:rsid w:val="00163A03"/>
    <w:rsid w:val="00163F2A"/>
    <w:rsid w:val="00164271"/>
    <w:rsid w:val="00164991"/>
    <w:rsid w:val="001657F4"/>
    <w:rsid w:val="00165D0D"/>
    <w:rsid w:val="0016660B"/>
    <w:rsid w:val="001707E9"/>
    <w:rsid w:val="00173155"/>
    <w:rsid w:val="00173247"/>
    <w:rsid w:val="001735FB"/>
    <w:rsid w:val="00173ABA"/>
    <w:rsid w:val="00173F16"/>
    <w:rsid w:val="0017504D"/>
    <w:rsid w:val="00175EBD"/>
    <w:rsid w:val="0017671A"/>
    <w:rsid w:val="00177251"/>
    <w:rsid w:val="00177422"/>
    <w:rsid w:val="00177F59"/>
    <w:rsid w:val="00180057"/>
    <w:rsid w:val="0018041C"/>
    <w:rsid w:val="00180D6D"/>
    <w:rsid w:val="00180DC2"/>
    <w:rsid w:val="00181F2B"/>
    <w:rsid w:val="00182AE6"/>
    <w:rsid w:val="00184590"/>
    <w:rsid w:val="001851C4"/>
    <w:rsid w:val="00185B5E"/>
    <w:rsid w:val="0018608D"/>
    <w:rsid w:val="001862AD"/>
    <w:rsid w:val="00186485"/>
    <w:rsid w:val="001868F4"/>
    <w:rsid w:val="00186E3E"/>
    <w:rsid w:val="001870D1"/>
    <w:rsid w:val="001877A1"/>
    <w:rsid w:val="0018781E"/>
    <w:rsid w:val="00187A62"/>
    <w:rsid w:val="00187F73"/>
    <w:rsid w:val="00190CF3"/>
    <w:rsid w:val="00191289"/>
    <w:rsid w:val="001920E8"/>
    <w:rsid w:val="00192534"/>
    <w:rsid w:val="0019262D"/>
    <w:rsid w:val="00192D13"/>
    <w:rsid w:val="00193199"/>
    <w:rsid w:val="00193A65"/>
    <w:rsid w:val="00193E07"/>
    <w:rsid w:val="00195C05"/>
    <w:rsid w:val="00195F3F"/>
    <w:rsid w:val="00196380"/>
    <w:rsid w:val="0019666A"/>
    <w:rsid w:val="001967BF"/>
    <w:rsid w:val="00197D17"/>
    <w:rsid w:val="00197E74"/>
    <w:rsid w:val="001A0262"/>
    <w:rsid w:val="001A04CB"/>
    <w:rsid w:val="001A1209"/>
    <w:rsid w:val="001A1355"/>
    <w:rsid w:val="001A1955"/>
    <w:rsid w:val="001A1B35"/>
    <w:rsid w:val="001A225E"/>
    <w:rsid w:val="001A30EB"/>
    <w:rsid w:val="001A34CA"/>
    <w:rsid w:val="001A48A2"/>
    <w:rsid w:val="001A5E35"/>
    <w:rsid w:val="001A620F"/>
    <w:rsid w:val="001A640E"/>
    <w:rsid w:val="001A6F61"/>
    <w:rsid w:val="001A6F8D"/>
    <w:rsid w:val="001A7170"/>
    <w:rsid w:val="001A7B2B"/>
    <w:rsid w:val="001B07CC"/>
    <w:rsid w:val="001B08B4"/>
    <w:rsid w:val="001B0C02"/>
    <w:rsid w:val="001B0E28"/>
    <w:rsid w:val="001B1517"/>
    <w:rsid w:val="001B181B"/>
    <w:rsid w:val="001B295C"/>
    <w:rsid w:val="001B2D5E"/>
    <w:rsid w:val="001B3043"/>
    <w:rsid w:val="001B5DBA"/>
    <w:rsid w:val="001B72B8"/>
    <w:rsid w:val="001B73A7"/>
    <w:rsid w:val="001B7BFE"/>
    <w:rsid w:val="001C004E"/>
    <w:rsid w:val="001C007A"/>
    <w:rsid w:val="001C01A9"/>
    <w:rsid w:val="001C10D9"/>
    <w:rsid w:val="001C27B4"/>
    <w:rsid w:val="001C2B20"/>
    <w:rsid w:val="001C2E7C"/>
    <w:rsid w:val="001C3323"/>
    <w:rsid w:val="001C3D29"/>
    <w:rsid w:val="001C4B92"/>
    <w:rsid w:val="001C6224"/>
    <w:rsid w:val="001C63C2"/>
    <w:rsid w:val="001C69B3"/>
    <w:rsid w:val="001C7383"/>
    <w:rsid w:val="001C74C6"/>
    <w:rsid w:val="001C7541"/>
    <w:rsid w:val="001C7874"/>
    <w:rsid w:val="001C7F41"/>
    <w:rsid w:val="001D08D5"/>
    <w:rsid w:val="001D0DD6"/>
    <w:rsid w:val="001D0E2D"/>
    <w:rsid w:val="001D17B5"/>
    <w:rsid w:val="001D1C6A"/>
    <w:rsid w:val="001D1DCB"/>
    <w:rsid w:val="001D2BB4"/>
    <w:rsid w:val="001D2E7E"/>
    <w:rsid w:val="001D3702"/>
    <w:rsid w:val="001D3C3D"/>
    <w:rsid w:val="001D3CC0"/>
    <w:rsid w:val="001D4B4D"/>
    <w:rsid w:val="001D4FA1"/>
    <w:rsid w:val="001D5595"/>
    <w:rsid w:val="001D5FDB"/>
    <w:rsid w:val="001D6525"/>
    <w:rsid w:val="001D67CE"/>
    <w:rsid w:val="001D6845"/>
    <w:rsid w:val="001D690A"/>
    <w:rsid w:val="001D6EB5"/>
    <w:rsid w:val="001D735D"/>
    <w:rsid w:val="001D7874"/>
    <w:rsid w:val="001D7F22"/>
    <w:rsid w:val="001E0821"/>
    <w:rsid w:val="001E08DC"/>
    <w:rsid w:val="001E09B9"/>
    <w:rsid w:val="001E1969"/>
    <w:rsid w:val="001E1E5A"/>
    <w:rsid w:val="001E20A0"/>
    <w:rsid w:val="001E2509"/>
    <w:rsid w:val="001E2FA6"/>
    <w:rsid w:val="001E4C43"/>
    <w:rsid w:val="001E606B"/>
    <w:rsid w:val="001E66E6"/>
    <w:rsid w:val="001E7811"/>
    <w:rsid w:val="001E79CB"/>
    <w:rsid w:val="001F001B"/>
    <w:rsid w:val="001F0F17"/>
    <w:rsid w:val="001F1323"/>
    <w:rsid w:val="001F1BF8"/>
    <w:rsid w:val="001F1D22"/>
    <w:rsid w:val="001F28E2"/>
    <w:rsid w:val="001F29BB"/>
    <w:rsid w:val="001F2E58"/>
    <w:rsid w:val="001F3347"/>
    <w:rsid w:val="001F33FA"/>
    <w:rsid w:val="001F349D"/>
    <w:rsid w:val="001F38D4"/>
    <w:rsid w:val="001F3E1F"/>
    <w:rsid w:val="001F3E9C"/>
    <w:rsid w:val="001F42D6"/>
    <w:rsid w:val="001F4D43"/>
    <w:rsid w:val="001F4F59"/>
    <w:rsid w:val="001F52D1"/>
    <w:rsid w:val="001F598A"/>
    <w:rsid w:val="001F5C08"/>
    <w:rsid w:val="001F61AB"/>
    <w:rsid w:val="001F6582"/>
    <w:rsid w:val="001F69E4"/>
    <w:rsid w:val="001F7407"/>
    <w:rsid w:val="001F7AC1"/>
    <w:rsid w:val="002009E8"/>
    <w:rsid w:val="00200E87"/>
    <w:rsid w:val="00201273"/>
    <w:rsid w:val="00201D06"/>
    <w:rsid w:val="00203488"/>
    <w:rsid w:val="0020377E"/>
    <w:rsid w:val="00203E0A"/>
    <w:rsid w:val="002054F5"/>
    <w:rsid w:val="002055FA"/>
    <w:rsid w:val="002058B8"/>
    <w:rsid w:val="00205D88"/>
    <w:rsid w:val="002071A7"/>
    <w:rsid w:val="00207841"/>
    <w:rsid w:val="00210266"/>
    <w:rsid w:val="00210B98"/>
    <w:rsid w:val="00210FB1"/>
    <w:rsid w:val="002110E5"/>
    <w:rsid w:val="002125B4"/>
    <w:rsid w:val="00214002"/>
    <w:rsid w:val="002147FF"/>
    <w:rsid w:val="002150A6"/>
    <w:rsid w:val="002155A7"/>
    <w:rsid w:val="002155B8"/>
    <w:rsid w:val="00216030"/>
    <w:rsid w:val="00216370"/>
    <w:rsid w:val="002165F6"/>
    <w:rsid w:val="002168EE"/>
    <w:rsid w:val="00216A6B"/>
    <w:rsid w:val="00216C55"/>
    <w:rsid w:val="00217895"/>
    <w:rsid w:val="0022016D"/>
    <w:rsid w:val="00220CAB"/>
    <w:rsid w:val="002211A0"/>
    <w:rsid w:val="00221F6D"/>
    <w:rsid w:val="002220FC"/>
    <w:rsid w:val="00222AA8"/>
    <w:rsid w:val="002232B0"/>
    <w:rsid w:val="00224118"/>
    <w:rsid w:val="00224155"/>
    <w:rsid w:val="00224839"/>
    <w:rsid w:val="002249B2"/>
    <w:rsid w:val="00224E9F"/>
    <w:rsid w:val="002251EC"/>
    <w:rsid w:val="00225BB9"/>
    <w:rsid w:val="00226574"/>
    <w:rsid w:val="002266D3"/>
    <w:rsid w:val="00226D95"/>
    <w:rsid w:val="0022733A"/>
    <w:rsid w:val="002278EC"/>
    <w:rsid w:val="00227B8E"/>
    <w:rsid w:val="00227F15"/>
    <w:rsid w:val="0023004B"/>
    <w:rsid w:val="00230510"/>
    <w:rsid w:val="00230C52"/>
    <w:rsid w:val="00231F5B"/>
    <w:rsid w:val="0023229D"/>
    <w:rsid w:val="0023280E"/>
    <w:rsid w:val="00233410"/>
    <w:rsid w:val="00233AFD"/>
    <w:rsid w:val="00234284"/>
    <w:rsid w:val="00234E78"/>
    <w:rsid w:val="0023573A"/>
    <w:rsid w:val="0023577A"/>
    <w:rsid w:val="002363B8"/>
    <w:rsid w:val="00236B8C"/>
    <w:rsid w:val="00236D0D"/>
    <w:rsid w:val="002373C4"/>
    <w:rsid w:val="002377D1"/>
    <w:rsid w:val="00237AF2"/>
    <w:rsid w:val="002407F7"/>
    <w:rsid w:val="002414D2"/>
    <w:rsid w:val="00242B69"/>
    <w:rsid w:val="002435D6"/>
    <w:rsid w:val="00244021"/>
    <w:rsid w:val="00244529"/>
    <w:rsid w:val="0024482C"/>
    <w:rsid w:val="0024484B"/>
    <w:rsid w:val="00244F99"/>
    <w:rsid w:val="00245F3D"/>
    <w:rsid w:val="00246389"/>
    <w:rsid w:val="00246AFF"/>
    <w:rsid w:val="0024730C"/>
    <w:rsid w:val="00247408"/>
    <w:rsid w:val="002477D9"/>
    <w:rsid w:val="0024787A"/>
    <w:rsid w:val="00247919"/>
    <w:rsid w:val="002506BC"/>
    <w:rsid w:val="00250893"/>
    <w:rsid w:val="00251619"/>
    <w:rsid w:val="00251ED9"/>
    <w:rsid w:val="002521B3"/>
    <w:rsid w:val="002524E2"/>
    <w:rsid w:val="00252FBC"/>
    <w:rsid w:val="002534CE"/>
    <w:rsid w:val="00253BE9"/>
    <w:rsid w:val="00253FB9"/>
    <w:rsid w:val="00254269"/>
    <w:rsid w:val="00254345"/>
    <w:rsid w:val="0025478A"/>
    <w:rsid w:val="00254E73"/>
    <w:rsid w:val="00255081"/>
    <w:rsid w:val="002554A3"/>
    <w:rsid w:val="00255B5B"/>
    <w:rsid w:val="00256236"/>
    <w:rsid w:val="002607DC"/>
    <w:rsid w:val="00261770"/>
    <w:rsid w:val="00261F3B"/>
    <w:rsid w:val="002623C9"/>
    <w:rsid w:val="002629EE"/>
    <w:rsid w:val="002635CA"/>
    <w:rsid w:val="00263A99"/>
    <w:rsid w:val="002640EF"/>
    <w:rsid w:val="00264557"/>
    <w:rsid w:val="002650ED"/>
    <w:rsid w:val="002656EE"/>
    <w:rsid w:val="00265763"/>
    <w:rsid w:val="00265B53"/>
    <w:rsid w:val="002661BB"/>
    <w:rsid w:val="00266441"/>
    <w:rsid w:val="00266FC1"/>
    <w:rsid w:val="00267068"/>
    <w:rsid w:val="0027082C"/>
    <w:rsid w:val="00270A3A"/>
    <w:rsid w:val="00271042"/>
    <w:rsid w:val="002711B6"/>
    <w:rsid w:val="00271CC3"/>
    <w:rsid w:val="0027201D"/>
    <w:rsid w:val="002725C9"/>
    <w:rsid w:val="00273606"/>
    <w:rsid w:val="00274609"/>
    <w:rsid w:val="00274CCB"/>
    <w:rsid w:val="0027592B"/>
    <w:rsid w:val="002767FD"/>
    <w:rsid w:val="00276B47"/>
    <w:rsid w:val="002805AB"/>
    <w:rsid w:val="00280FAD"/>
    <w:rsid w:val="00282320"/>
    <w:rsid w:val="00282682"/>
    <w:rsid w:val="00282C34"/>
    <w:rsid w:val="00282D49"/>
    <w:rsid w:val="002833A8"/>
    <w:rsid w:val="002840E7"/>
    <w:rsid w:val="00284204"/>
    <w:rsid w:val="00284BD6"/>
    <w:rsid w:val="002851D5"/>
    <w:rsid w:val="002859F3"/>
    <w:rsid w:val="002865BB"/>
    <w:rsid w:val="00286714"/>
    <w:rsid w:val="00286837"/>
    <w:rsid w:val="002868C9"/>
    <w:rsid w:val="00287258"/>
    <w:rsid w:val="00287DF3"/>
    <w:rsid w:val="0029018F"/>
    <w:rsid w:val="002905BE"/>
    <w:rsid w:val="00291218"/>
    <w:rsid w:val="002913F8"/>
    <w:rsid w:val="00291478"/>
    <w:rsid w:val="00291773"/>
    <w:rsid w:val="00291D1B"/>
    <w:rsid w:val="00292227"/>
    <w:rsid w:val="002929F0"/>
    <w:rsid w:val="00292CA8"/>
    <w:rsid w:val="0029364C"/>
    <w:rsid w:val="0029369C"/>
    <w:rsid w:val="002939FD"/>
    <w:rsid w:val="00294118"/>
    <w:rsid w:val="0029441A"/>
    <w:rsid w:val="00294674"/>
    <w:rsid w:val="002949B1"/>
    <w:rsid w:val="00295262"/>
    <w:rsid w:val="00295665"/>
    <w:rsid w:val="00295BC1"/>
    <w:rsid w:val="00296DF6"/>
    <w:rsid w:val="00297D5E"/>
    <w:rsid w:val="002A009A"/>
    <w:rsid w:val="002A012F"/>
    <w:rsid w:val="002A168C"/>
    <w:rsid w:val="002A1DFC"/>
    <w:rsid w:val="002A2838"/>
    <w:rsid w:val="002A3DC7"/>
    <w:rsid w:val="002A41AB"/>
    <w:rsid w:val="002A45DF"/>
    <w:rsid w:val="002A4988"/>
    <w:rsid w:val="002A4E36"/>
    <w:rsid w:val="002A5275"/>
    <w:rsid w:val="002A5321"/>
    <w:rsid w:val="002A53F0"/>
    <w:rsid w:val="002A60D5"/>
    <w:rsid w:val="002A645D"/>
    <w:rsid w:val="002A6A5A"/>
    <w:rsid w:val="002A6E08"/>
    <w:rsid w:val="002A79CD"/>
    <w:rsid w:val="002B0805"/>
    <w:rsid w:val="002B14AD"/>
    <w:rsid w:val="002B1FE2"/>
    <w:rsid w:val="002B23D4"/>
    <w:rsid w:val="002B24AE"/>
    <w:rsid w:val="002B3291"/>
    <w:rsid w:val="002B3444"/>
    <w:rsid w:val="002B3685"/>
    <w:rsid w:val="002B3EE2"/>
    <w:rsid w:val="002B40C2"/>
    <w:rsid w:val="002B49E2"/>
    <w:rsid w:val="002B4B06"/>
    <w:rsid w:val="002B51A5"/>
    <w:rsid w:val="002B5880"/>
    <w:rsid w:val="002B5A87"/>
    <w:rsid w:val="002B628B"/>
    <w:rsid w:val="002B62D0"/>
    <w:rsid w:val="002B632D"/>
    <w:rsid w:val="002B63C4"/>
    <w:rsid w:val="002B754A"/>
    <w:rsid w:val="002B79EE"/>
    <w:rsid w:val="002B7B00"/>
    <w:rsid w:val="002B7C44"/>
    <w:rsid w:val="002B7FC4"/>
    <w:rsid w:val="002C0479"/>
    <w:rsid w:val="002C0B4A"/>
    <w:rsid w:val="002C1234"/>
    <w:rsid w:val="002C18F1"/>
    <w:rsid w:val="002C2050"/>
    <w:rsid w:val="002C2395"/>
    <w:rsid w:val="002C255A"/>
    <w:rsid w:val="002C2B17"/>
    <w:rsid w:val="002C2CBB"/>
    <w:rsid w:val="002C389F"/>
    <w:rsid w:val="002C3B53"/>
    <w:rsid w:val="002C4114"/>
    <w:rsid w:val="002C4B48"/>
    <w:rsid w:val="002C5ADE"/>
    <w:rsid w:val="002C7044"/>
    <w:rsid w:val="002C720D"/>
    <w:rsid w:val="002C7E90"/>
    <w:rsid w:val="002D0510"/>
    <w:rsid w:val="002D0826"/>
    <w:rsid w:val="002D09BB"/>
    <w:rsid w:val="002D0D70"/>
    <w:rsid w:val="002D10F7"/>
    <w:rsid w:val="002D1AC9"/>
    <w:rsid w:val="002D1E39"/>
    <w:rsid w:val="002D233C"/>
    <w:rsid w:val="002D343B"/>
    <w:rsid w:val="002D3976"/>
    <w:rsid w:val="002D3DD0"/>
    <w:rsid w:val="002D4CED"/>
    <w:rsid w:val="002D4DB5"/>
    <w:rsid w:val="002D5094"/>
    <w:rsid w:val="002D52F1"/>
    <w:rsid w:val="002D557E"/>
    <w:rsid w:val="002D5807"/>
    <w:rsid w:val="002D6B7F"/>
    <w:rsid w:val="002D7C0C"/>
    <w:rsid w:val="002D7FD1"/>
    <w:rsid w:val="002E01EF"/>
    <w:rsid w:val="002E0378"/>
    <w:rsid w:val="002E0467"/>
    <w:rsid w:val="002E1C28"/>
    <w:rsid w:val="002E1D04"/>
    <w:rsid w:val="002E1D92"/>
    <w:rsid w:val="002E1F3A"/>
    <w:rsid w:val="002E202A"/>
    <w:rsid w:val="002E20DB"/>
    <w:rsid w:val="002E21AF"/>
    <w:rsid w:val="002E2577"/>
    <w:rsid w:val="002E27BC"/>
    <w:rsid w:val="002E298A"/>
    <w:rsid w:val="002E2B6B"/>
    <w:rsid w:val="002E3050"/>
    <w:rsid w:val="002E374D"/>
    <w:rsid w:val="002E3CBF"/>
    <w:rsid w:val="002E418F"/>
    <w:rsid w:val="002E4AA1"/>
    <w:rsid w:val="002E57C1"/>
    <w:rsid w:val="002E591D"/>
    <w:rsid w:val="002E5E1C"/>
    <w:rsid w:val="002E5F58"/>
    <w:rsid w:val="002E6747"/>
    <w:rsid w:val="002E6779"/>
    <w:rsid w:val="002E6F09"/>
    <w:rsid w:val="002E7568"/>
    <w:rsid w:val="002E7AAB"/>
    <w:rsid w:val="002E7FE8"/>
    <w:rsid w:val="002F00AD"/>
    <w:rsid w:val="002F1B4E"/>
    <w:rsid w:val="002F2665"/>
    <w:rsid w:val="002F2816"/>
    <w:rsid w:val="002F3336"/>
    <w:rsid w:val="002F33E3"/>
    <w:rsid w:val="002F34CA"/>
    <w:rsid w:val="002F3931"/>
    <w:rsid w:val="002F3AD1"/>
    <w:rsid w:val="002F442B"/>
    <w:rsid w:val="002F4472"/>
    <w:rsid w:val="002F479C"/>
    <w:rsid w:val="002F5AA0"/>
    <w:rsid w:val="002F625C"/>
    <w:rsid w:val="002F6706"/>
    <w:rsid w:val="002F67FE"/>
    <w:rsid w:val="002F698C"/>
    <w:rsid w:val="002F6BC2"/>
    <w:rsid w:val="002F6FE9"/>
    <w:rsid w:val="002F7275"/>
    <w:rsid w:val="00300818"/>
    <w:rsid w:val="00301978"/>
    <w:rsid w:val="003022AB"/>
    <w:rsid w:val="0030238C"/>
    <w:rsid w:val="003026DD"/>
    <w:rsid w:val="00302B84"/>
    <w:rsid w:val="00302ED4"/>
    <w:rsid w:val="0030332C"/>
    <w:rsid w:val="003033E9"/>
    <w:rsid w:val="00303502"/>
    <w:rsid w:val="00303F53"/>
    <w:rsid w:val="003040EF"/>
    <w:rsid w:val="003045E3"/>
    <w:rsid w:val="00304DEE"/>
    <w:rsid w:val="003051C2"/>
    <w:rsid w:val="00305A96"/>
    <w:rsid w:val="0030646D"/>
    <w:rsid w:val="0030669E"/>
    <w:rsid w:val="003069F8"/>
    <w:rsid w:val="00310028"/>
    <w:rsid w:val="00310292"/>
    <w:rsid w:val="0031036A"/>
    <w:rsid w:val="00310A5A"/>
    <w:rsid w:val="00310FB0"/>
    <w:rsid w:val="00311B15"/>
    <w:rsid w:val="00312122"/>
    <w:rsid w:val="00312296"/>
    <w:rsid w:val="00314342"/>
    <w:rsid w:val="00314684"/>
    <w:rsid w:val="00314F0E"/>
    <w:rsid w:val="003150AA"/>
    <w:rsid w:val="00315E8F"/>
    <w:rsid w:val="0031782D"/>
    <w:rsid w:val="00317E46"/>
    <w:rsid w:val="003200CF"/>
    <w:rsid w:val="00320243"/>
    <w:rsid w:val="003211CE"/>
    <w:rsid w:val="003213C1"/>
    <w:rsid w:val="00321B01"/>
    <w:rsid w:val="00321B7E"/>
    <w:rsid w:val="00321D8E"/>
    <w:rsid w:val="00321E31"/>
    <w:rsid w:val="00321F7A"/>
    <w:rsid w:val="00322A0C"/>
    <w:rsid w:val="0032332B"/>
    <w:rsid w:val="00324475"/>
    <w:rsid w:val="00324765"/>
    <w:rsid w:val="00324A2A"/>
    <w:rsid w:val="00324AF3"/>
    <w:rsid w:val="00324E65"/>
    <w:rsid w:val="00325928"/>
    <w:rsid w:val="00325C90"/>
    <w:rsid w:val="00326CF1"/>
    <w:rsid w:val="00327541"/>
    <w:rsid w:val="003310EE"/>
    <w:rsid w:val="003323A0"/>
    <w:rsid w:val="00332517"/>
    <w:rsid w:val="00332568"/>
    <w:rsid w:val="00332863"/>
    <w:rsid w:val="00333DDE"/>
    <w:rsid w:val="00334458"/>
    <w:rsid w:val="00334551"/>
    <w:rsid w:val="00334637"/>
    <w:rsid w:val="0033594D"/>
    <w:rsid w:val="00335C27"/>
    <w:rsid w:val="0033684D"/>
    <w:rsid w:val="00337B42"/>
    <w:rsid w:val="0034056E"/>
    <w:rsid w:val="00340CF8"/>
    <w:rsid w:val="00341190"/>
    <w:rsid w:val="00341408"/>
    <w:rsid w:val="00341494"/>
    <w:rsid w:val="003417F0"/>
    <w:rsid w:val="0034190E"/>
    <w:rsid w:val="00341B42"/>
    <w:rsid w:val="00341BB5"/>
    <w:rsid w:val="0034216F"/>
    <w:rsid w:val="003422DB"/>
    <w:rsid w:val="0034265B"/>
    <w:rsid w:val="00342C19"/>
    <w:rsid w:val="0034348F"/>
    <w:rsid w:val="0034372A"/>
    <w:rsid w:val="0034409D"/>
    <w:rsid w:val="00344656"/>
    <w:rsid w:val="003450F6"/>
    <w:rsid w:val="003453A9"/>
    <w:rsid w:val="003457C7"/>
    <w:rsid w:val="00345DC6"/>
    <w:rsid w:val="00350312"/>
    <w:rsid w:val="003511BC"/>
    <w:rsid w:val="003517B7"/>
    <w:rsid w:val="00351962"/>
    <w:rsid w:val="00351E0A"/>
    <w:rsid w:val="00352508"/>
    <w:rsid w:val="003527F6"/>
    <w:rsid w:val="00352A14"/>
    <w:rsid w:val="0035304D"/>
    <w:rsid w:val="00354359"/>
    <w:rsid w:val="0035494C"/>
    <w:rsid w:val="00354C14"/>
    <w:rsid w:val="00354EB4"/>
    <w:rsid w:val="003554B6"/>
    <w:rsid w:val="00356653"/>
    <w:rsid w:val="003566D4"/>
    <w:rsid w:val="00356C98"/>
    <w:rsid w:val="0035743F"/>
    <w:rsid w:val="0035757D"/>
    <w:rsid w:val="00357BE2"/>
    <w:rsid w:val="0036019C"/>
    <w:rsid w:val="00360256"/>
    <w:rsid w:val="00360E60"/>
    <w:rsid w:val="00361413"/>
    <w:rsid w:val="003614E3"/>
    <w:rsid w:val="0036170C"/>
    <w:rsid w:val="00361BCB"/>
    <w:rsid w:val="0036247E"/>
    <w:rsid w:val="00362A7B"/>
    <w:rsid w:val="00363104"/>
    <w:rsid w:val="00363D74"/>
    <w:rsid w:val="00363F65"/>
    <w:rsid w:val="00363F70"/>
    <w:rsid w:val="00364CD1"/>
    <w:rsid w:val="003652C1"/>
    <w:rsid w:val="00365AAF"/>
    <w:rsid w:val="00365F28"/>
    <w:rsid w:val="00365F36"/>
    <w:rsid w:val="00366145"/>
    <w:rsid w:val="00366981"/>
    <w:rsid w:val="00366E0F"/>
    <w:rsid w:val="00366FCE"/>
    <w:rsid w:val="00367551"/>
    <w:rsid w:val="0037083D"/>
    <w:rsid w:val="003712DF"/>
    <w:rsid w:val="00371524"/>
    <w:rsid w:val="0037164B"/>
    <w:rsid w:val="00372759"/>
    <w:rsid w:val="00372EC8"/>
    <w:rsid w:val="003736B0"/>
    <w:rsid w:val="0037378E"/>
    <w:rsid w:val="0037391A"/>
    <w:rsid w:val="003739EC"/>
    <w:rsid w:val="00375518"/>
    <w:rsid w:val="00376403"/>
    <w:rsid w:val="00376B67"/>
    <w:rsid w:val="00376E1A"/>
    <w:rsid w:val="003801E7"/>
    <w:rsid w:val="003804A3"/>
    <w:rsid w:val="00380CAE"/>
    <w:rsid w:val="0038128A"/>
    <w:rsid w:val="003813D1"/>
    <w:rsid w:val="00381A72"/>
    <w:rsid w:val="00381C47"/>
    <w:rsid w:val="00381FF6"/>
    <w:rsid w:val="00383325"/>
    <w:rsid w:val="0038425D"/>
    <w:rsid w:val="00384296"/>
    <w:rsid w:val="003845EA"/>
    <w:rsid w:val="00384676"/>
    <w:rsid w:val="00384933"/>
    <w:rsid w:val="00385686"/>
    <w:rsid w:val="0038612D"/>
    <w:rsid w:val="00387507"/>
    <w:rsid w:val="003878DC"/>
    <w:rsid w:val="00387E32"/>
    <w:rsid w:val="003900B7"/>
    <w:rsid w:val="00390128"/>
    <w:rsid w:val="003904D7"/>
    <w:rsid w:val="0039055D"/>
    <w:rsid w:val="003905B2"/>
    <w:rsid w:val="00390857"/>
    <w:rsid w:val="003917D2"/>
    <w:rsid w:val="00393298"/>
    <w:rsid w:val="003934BA"/>
    <w:rsid w:val="00393599"/>
    <w:rsid w:val="00393E20"/>
    <w:rsid w:val="0039488A"/>
    <w:rsid w:val="00394F9A"/>
    <w:rsid w:val="003954BC"/>
    <w:rsid w:val="00395C8D"/>
    <w:rsid w:val="00395D64"/>
    <w:rsid w:val="00395F28"/>
    <w:rsid w:val="003964A4"/>
    <w:rsid w:val="00396B66"/>
    <w:rsid w:val="00397376"/>
    <w:rsid w:val="003A0943"/>
    <w:rsid w:val="003A0BD1"/>
    <w:rsid w:val="003A0D15"/>
    <w:rsid w:val="003A3EC8"/>
    <w:rsid w:val="003A42F2"/>
    <w:rsid w:val="003A4BF3"/>
    <w:rsid w:val="003A4D39"/>
    <w:rsid w:val="003A5272"/>
    <w:rsid w:val="003A5C14"/>
    <w:rsid w:val="003A6C9E"/>
    <w:rsid w:val="003A6CDB"/>
    <w:rsid w:val="003A6F69"/>
    <w:rsid w:val="003A72E3"/>
    <w:rsid w:val="003A752E"/>
    <w:rsid w:val="003B041E"/>
    <w:rsid w:val="003B102D"/>
    <w:rsid w:val="003B1605"/>
    <w:rsid w:val="003B16AE"/>
    <w:rsid w:val="003B235A"/>
    <w:rsid w:val="003B23DA"/>
    <w:rsid w:val="003B32A0"/>
    <w:rsid w:val="003B36AA"/>
    <w:rsid w:val="003B36D2"/>
    <w:rsid w:val="003B420D"/>
    <w:rsid w:val="003B42EE"/>
    <w:rsid w:val="003B4488"/>
    <w:rsid w:val="003B4C25"/>
    <w:rsid w:val="003B52D9"/>
    <w:rsid w:val="003B5631"/>
    <w:rsid w:val="003B5A9A"/>
    <w:rsid w:val="003B5FF4"/>
    <w:rsid w:val="003B6286"/>
    <w:rsid w:val="003B6E33"/>
    <w:rsid w:val="003C01B7"/>
    <w:rsid w:val="003C10A4"/>
    <w:rsid w:val="003C259E"/>
    <w:rsid w:val="003C29E6"/>
    <w:rsid w:val="003C3762"/>
    <w:rsid w:val="003C3EEC"/>
    <w:rsid w:val="003C4B5C"/>
    <w:rsid w:val="003C4B93"/>
    <w:rsid w:val="003C5591"/>
    <w:rsid w:val="003C563F"/>
    <w:rsid w:val="003C5AA0"/>
    <w:rsid w:val="003C6C16"/>
    <w:rsid w:val="003C71A6"/>
    <w:rsid w:val="003C71CE"/>
    <w:rsid w:val="003C76A6"/>
    <w:rsid w:val="003C7B57"/>
    <w:rsid w:val="003C7D55"/>
    <w:rsid w:val="003D0D0B"/>
    <w:rsid w:val="003D1224"/>
    <w:rsid w:val="003D177E"/>
    <w:rsid w:val="003D30DC"/>
    <w:rsid w:val="003D4791"/>
    <w:rsid w:val="003D527E"/>
    <w:rsid w:val="003D5A82"/>
    <w:rsid w:val="003D6D3E"/>
    <w:rsid w:val="003D701B"/>
    <w:rsid w:val="003D794D"/>
    <w:rsid w:val="003D7FD6"/>
    <w:rsid w:val="003E11DD"/>
    <w:rsid w:val="003E1842"/>
    <w:rsid w:val="003E1931"/>
    <w:rsid w:val="003E1CE4"/>
    <w:rsid w:val="003E2EF5"/>
    <w:rsid w:val="003E3058"/>
    <w:rsid w:val="003E3637"/>
    <w:rsid w:val="003E3F70"/>
    <w:rsid w:val="003E4381"/>
    <w:rsid w:val="003E4FBF"/>
    <w:rsid w:val="003E55D9"/>
    <w:rsid w:val="003E648B"/>
    <w:rsid w:val="003E67DB"/>
    <w:rsid w:val="003E76A9"/>
    <w:rsid w:val="003E7B12"/>
    <w:rsid w:val="003E7B8F"/>
    <w:rsid w:val="003F0000"/>
    <w:rsid w:val="003F0743"/>
    <w:rsid w:val="003F0809"/>
    <w:rsid w:val="003F0DC6"/>
    <w:rsid w:val="003F0EC7"/>
    <w:rsid w:val="003F14CC"/>
    <w:rsid w:val="003F244C"/>
    <w:rsid w:val="003F2D1A"/>
    <w:rsid w:val="003F2DE2"/>
    <w:rsid w:val="003F3759"/>
    <w:rsid w:val="003F39D6"/>
    <w:rsid w:val="003F4A5E"/>
    <w:rsid w:val="003F5608"/>
    <w:rsid w:val="003F6724"/>
    <w:rsid w:val="003F6A8C"/>
    <w:rsid w:val="003F6E1E"/>
    <w:rsid w:val="003F74BD"/>
    <w:rsid w:val="003F755C"/>
    <w:rsid w:val="003F7889"/>
    <w:rsid w:val="003F7D74"/>
    <w:rsid w:val="004002A6"/>
    <w:rsid w:val="00400E35"/>
    <w:rsid w:val="00401291"/>
    <w:rsid w:val="0040142C"/>
    <w:rsid w:val="004015F2"/>
    <w:rsid w:val="004017BA"/>
    <w:rsid w:val="004032E8"/>
    <w:rsid w:val="00404016"/>
    <w:rsid w:val="00404493"/>
    <w:rsid w:val="0040508C"/>
    <w:rsid w:val="00405E05"/>
    <w:rsid w:val="0040621B"/>
    <w:rsid w:val="004066FE"/>
    <w:rsid w:val="00406F01"/>
    <w:rsid w:val="0040705D"/>
    <w:rsid w:val="004072CF"/>
    <w:rsid w:val="00407F0E"/>
    <w:rsid w:val="004109BA"/>
    <w:rsid w:val="00410B24"/>
    <w:rsid w:val="00411393"/>
    <w:rsid w:val="00411891"/>
    <w:rsid w:val="0041202F"/>
    <w:rsid w:val="004123A3"/>
    <w:rsid w:val="00412C53"/>
    <w:rsid w:val="00412F7D"/>
    <w:rsid w:val="004135C3"/>
    <w:rsid w:val="00413609"/>
    <w:rsid w:val="00414065"/>
    <w:rsid w:val="004143A4"/>
    <w:rsid w:val="00414ECD"/>
    <w:rsid w:val="004152ED"/>
    <w:rsid w:val="00415641"/>
    <w:rsid w:val="004156C2"/>
    <w:rsid w:val="00415817"/>
    <w:rsid w:val="00415F72"/>
    <w:rsid w:val="00416093"/>
    <w:rsid w:val="004161EE"/>
    <w:rsid w:val="00416535"/>
    <w:rsid w:val="00416591"/>
    <w:rsid w:val="00416D50"/>
    <w:rsid w:val="00416FD5"/>
    <w:rsid w:val="004170C8"/>
    <w:rsid w:val="00417772"/>
    <w:rsid w:val="0042057A"/>
    <w:rsid w:val="00420E6A"/>
    <w:rsid w:val="00422110"/>
    <w:rsid w:val="00423549"/>
    <w:rsid w:val="00424749"/>
    <w:rsid w:val="00424778"/>
    <w:rsid w:val="00424A79"/>
    <w:rsid w:val="00424B25"/>
    <w:rsid w:val="00424B8A"/>
    <w:rsid w:val="0042524F"/>
    <w:rsid w:val="00425A9E"/>
    <w:rsid w:val="00426D6B"/>
    <w:rsid w:val="0042758C"/>
    <w:rsid w:val="00427B05"/>
    <w:rsid w:val="00430414"/>
    <w:rsid w:val="0043045E"/>
    <w:rsid w:val="00430695"/>
    <w:rsid w:val="00430B8D"/>
    <w:rsid w:val="00431513"/>
    <w:rsid w:val="00431E6C"/>
    <w:rsid w:val="00432BC0"/>
    <w:rsid w:val="004335DD"/>
    <w:rsid w:val="00433CE7"/>
    <w:rsid w:val="00434889"/>
    <w:rsid w:val="004348F2"/>
    <w:rsid w:val="0043531C"/>
    <w:rsid w:val="00436F4F"/>
    <w:rsid w:val="00437DE0"/>
    <w:rsid w:val="004404D9"/>
    <w:rsid w:val="00440947"/>
    <w:rsid w:val="00440B34"/>
    <w:rsid w:val="00441BDC"/>
    <w:rsid w:val="00441DE6"/>
    <w:rsid w:val="004423BD"/>
    <w:rsid w:val="00442A61"/>
    <w:rsid w:val="00442E27"/>
    <w:rsid w:val="00443781"/>
    <w:rsid w:val="004437DC"/>
    <w:rsid w:val="00443BBF"/>
    <w:rsid w:val="00443D3C"/>
    <w:rsid w:val="00444124"/>
    <w:rsid w:val="00444419"/>
    <w:rsid w:val="00444BE2"/>
    <w:rsid w:val="00445E64"/>
    <w:rsid w:val="00445F8A"/>
    <w:rsid w:val="00445FFF"/>
    <w:rsid w:val="0044617B"/>
    <w:rsid w:val="004470BA"/>
    <w:rsid w:val="004473B0"/>
    <w:rsid w:val="00450196"/>
    <w:rsid w:val="004515AD"/>
    <w:rsid w:val="0045187C"/>
    <w:rsid w:val="00451913"/>
    <w:rsid w:val="00452738"/>
    <w:rsid w:val="00452C7D"/>
    <w:rsid w:val="00454B25"/>
    <w:rsid w:val="00454D1F"/>
    <w:rsid w:val="00455447"/>
    <w:rsid w:val="00455914"/>
    <w:rsid w:val="004559DE"/>
    <w:rsid w:val="00455A5D"/>
    <w:rsid w:val="00456091"/>
    <w:rsid w:val="004563F6"/>
    <w:rsid w:val="0045641D"/>
    <w:rsid w:val="0045684A"/>
    <w:rsid w:val="0046010A"/>
    <w:rsid w:val="004602B8"/>
    <w:rsid w:val="004619FE"/>
    <w:rsid w:val="004622F3"/>
    <w:rsid w:val="00462478"/>
    <w:rsid w:val="004625A4"/>
    <w:rsid w:val="00462EBF"/>
    <w:rsid w:val="00462F53"/>
    <w:rsid w:val="004637BB"/>
    <w:rsid w:val="00464602"/>
    <w:rsid w:val="00464822"/>
    <w:rsid w:val="00464C4C"/>
    <w:rsid w:val="00464F08"/>
    <w:rsid w:val="00465B67"/>
    <w:rsid w:val="00466321"/>
    <w:rsid w:val="004664C2"/>
    <w:rsid w:val="00466B66"/>
    <w:rsid w:val="004672F4"/>
    <w:rsid w:val="00467B14"/>
    <w:rsid w:val="00470287"/>
    <w:rsid w:val="00470661"/>
    <w:rsid w:val="00471625"/>
    <w:rsid w:val="00471BD2"/>
    <w:rsid w:val="00471F75"/>
    <w:rsid w:val="004723DD"/>
    <w:rsid w:val="00472522"/>
    <w:rsid w:val="00472D08"/>
    <w:rsid w:val="00472E81"/>
    <w:rsid w:val="0047373F"/>
    <w:rsid w:val="00474541"/>
    <w:rsid w:val="0047475C"/>
    <w:rsid w:val="004755E3"/>
    <w:rsid w:val="00475935"/>
    <w:rsid w:val="00476E38"/>
    <w:rsid w:val="0047785B"/>
    <w:rsid w:val="00477B1C"/>
    <w:rsid w:val="00477E2A"/>
    <w:rsid w:val="00477F83"/>
    <w:rsid w:val="004808E8"/>
    <w:rsid w:val="00481A7B"/>
    <w:rsid w:val="004825A7"/>
    <w:rsid w:val="00482620"/>
    <w:rsid w:val="00482A9A"/>
    <w:rsid w:val="00482C1C"/>
    <w:rsid w:val="00483AD7"/>
    <w:rsid w:val="00484246"/>
    <w:rsid w:val="004842F4"/>
    <w:rsid w:val="00484893"/>
    <w:rsid w:val="00484B9B"/>
    <w:rsid w:val="00484DA4"/>
    <w:rsid w:val="004853F3"/>
    <w:rsid w:val="004854B0"/>
    <w:rsid w:val="0048559F"/>
    <w:rsid w:val="004855F6"/>
    <w:rsid w:val="004857A5"/>
    <w:rsid w:val="00485ED8"/>
    <w:rsid w:val="0048661E"/>
    <w:rsid w:val="00486B59"/>
    <w:rsid w:val="00487F24"/>
    <w:rsid w:val="00490E43"/>
    <w:rsid w:val="004913FE"/>
    <w:rsid w:val="004915FA"/>
    <w:rsid w:val="00492543"/>
    <w:rsid w:val="004933E2"/>
    <w:rsid w:val="00493754"/>
    <w:rsid w:val="00493B86"/>
    <w:rsid w:val="00494414"/>
    <w:rsid w:val="00494670"/>
    <w:rsid w:val="004950FE"/>
    <w:rsid w:val="004951B7"/>
    <w:rsid w:val="00497230"/>
    <w:rsid w:val="00497A26"/>
    <w:rsid w:val="004A0322"/>
    <w:rsid w:val="004A0EA5"/>
    <w:rsid w:val="004A1625"/>
    <w:rsid w:val="004A1AAB"/>
    <w:rsid w:val="004A20B8"/>
    <w:rsid w:val="004A28AC"/>
    <w:rsid w:val="004A2AB3"/>
    <w:rsid w:val="004A362B"/>
    <w:rsid w:val="004A37C6"/>
    <w:rsid w:val="004A3823"/>
    <w:rsid w:val="004A452F"/>
    <w:rsid w:val="004A4865"/>
    <w:rsid w:val="004A4C04"/>
    <w:rsid w:val="004A54B3"/>
    <w:rsid w:val="004A5591"/>
    <w:rsid w:val="004A5615"/>
    <w:rsid w:val="004A5E32"/>
    <w:rsid w:val="004A5F6D"/>
    <w:rsid w:val="004A61B9"/>
    <w:rsid w:val="004A624C"/>
    <w:rsid w:val="004A70C7"/>
    <w:rsid w:val="004A726A"/>
    <w:rsid w:val="004A7CDD"/>
    <w:rsid w:val="004A7DA5"/>
    <w:rsid w:val="004A7EBD"/>
    <w:rsid w:val="004B25CB"/>
    <w:rsid w:val="004B28CE"/>
    <w:rsid w:val="004B299B"/>
    <w:rsid w:val="004B31CB"/>
    <w:rsid w:val="004B35DD"/>
    <w:rsid w:val="004B3705"/>
    <w:rsid w:val="004B41EA"/>
    <w:rsid w:val="004B4BC1"/>
    <w:rsid w:val="004B5811"/>
    <w:rsid w:val="004B62EE"/>
    <w:rsid w:val="004B6461"/>
    <w:rsid w:val="004B743E"/>
    <w:rsid w:val="004B7A13"/>
    <w:rsid w:val="004B7AF7"/>
    <w:rsid w:val="004C0524"/>
    <w:rsid w:val="004C0CD8"/>
    <w:rsid w:val="004C225B"/>
    <w:rsid w:val="004C289D"/>
    <w:rsid w:val="004C2E37"/>
    <w:rsid w:val="004C37AC"/>
    <w:rsid w:val="004C3E38"/>
    <w:rsid w:val="004C3FED"/>
    <w:rsid w:val="004C5F2D"/>
    <w:rsid w:val="004C60CF"/>
    <w:rsid w:val="004C691C"/>
    <w:rsid w:val="004C693D"/>
    <w:rsid w:val="004C6B82"/>
    <w:rsid w:val="004C75B9"/>
    <w:rsid w:val="004C7649"/>
    <w:rsid w:val="004C7996"/>
    <w:rsid w:val="004C7C9B"/>
    <w:rsid w:val="004C7E9C"/>
    <w:rsid w:val="004D0078"/>
    <w:rsid w:val="004D17F7"/>
    <w:rsid w:val="004D2316"/>
    <w:rsid w:val="004D2631"/>
    <w:rsid w:val="004D348B"/>
    <w:rsid w:val="004D42AE"/>
    <w:rsid w:val="004D4324"/>
    <w:rsid w:val="004D5730"/>
    <w:rsid w:val="004D57AE"/>
    <w:rsid w:val="004D5B58"/>
    <w:rsid w:val="004D5D8B"/>
    <w:rsid w:val="004D62D9"/>
    <w:rsid w:val="004D66EF"/>
    <w:rsid w:val="004D7546"/>
    <w:rsid w:val="004D7BCD"/>
    <w:rsid w:val="004D7D6B"/>
    <w:rsid w:val="004D7E28"/>
    <w:rsid w:val="004E0270"/>
    <w:rsid w:val="004E036B"/>
    <w:rsid w:val="004E128F"/>
    <w:rsid w:val="004E129A"/>
    <w:rsid w:val="004E132F"/>
    <w:rsid w:val="004E137B"/>
    <w:rsid w:val="004E145D"/>
    <w:rsid w:val="004E1BBE"/>
    <w:rsid w:val="004E1C64"/>
    <w:rsid w:val="004E2286"/>
    <w:rsid w:val="004E2401"/>
    <w:rsid w:val="004E2849"/>
    <w:rsid w:val="004E2DFB"/>
    <w:rsid w:val="004E30E1"/>
    <w:rsid w:val="004E3406"/>
    <w:rsid w:val="004E3536"/>
    <w:rsid w:val="004E3598"/>
    <w:rsid w:val="004E35B9"/>
    <w:rsid w:val="004E3612"/>
    <w:rsid w:val="004E3A4E"/>
    <w:rsid w:val="004E3AF5"/>
    <w:rsid w:val="004E3EBE"/>
    <w:rsid w:val="004E3F50"/>
    <w:rsid w:val="004E4315"/>
    <w:rsid w:val="004E4858"/>
    <w:rsid w:val="004E4CA3"/>
    <w:rsid w:val="004E58B6"/>
    <w:rsid w:val="004E58D5"/>
    <w:rsid w:val="004E6064"/>
    <w:rsid w:val="004E6278"/>
    <w:rsid w:val="004E6946"/>
    <w:rsid w:val="004E6AC7"/>
    <w:rsid w:val="004E6D05"/>
    <w:rsid w:val="004E7C86"/>
    <w:rsid w:val="004E7F61"/>
    <w:rsid w:val="004F0158"/>
    <w:rsid w:val="004F088E"/>
    <w:rsid w:val="004F10D4"/>
    <w:rsid w:val="004F1826"/>
    <w:rsid w:val="004F1AD8"/>
    <w:rsid w:val="004F26D8"/>
    <w:rsid w:val="004F2782"/>
    <w:rsid w:val="004F375C"/>
    <w:rsid w:val="004F5579"/>
    <w:rsid w:val="004F662D"/>
    <w:rsid w:val="004F6C80"/>
    <w:rsid w:val="004F71B1"/>
    <w:rsid w:val="004F72C9"/>
    <w:rsid w:val="004F7C2E"/>
    <w:rsid w:val="00500F31"/>
    <w:rsid w:val="00503034"/>
    <w:rsid w:val="005039CB"/>
    <w:rsid w:val="00504140"/>
    <w:rsid w:val="0050474A"/>
    <w:rsid w:val="0050533F"/>
    <w:rsid w:val="00505520"/>
    <w:rsid w:val="0050558F"/>
    <w:rsid w:val="005058DF"/>
    <w:rsid w:val="00505A35"/>
    <w:rsid w:val="00506286"/>
    <w:rsid w:val="005064F4"/>
    <w:rsid w:val="00506609"/>
    <w:rsid w:val="00507999"/>
    <w:rsid w:val="00510813"/>
    <w:rsid w:val="00510ACD"/>
    <w:rsid w:val="00510E4D"/>
    <w:rsid w:val="00511990"/>
    <w:rsid w:val="00511B7E"/>
    <w:rsid w:val="00511DE0"/>
    <w:rsid w:val="00511FF9"/>
    <w:rsid w:val="005123AE"/>
    <w:rsid w:val="00512929"/>
    <w:rsid w:val="0051293A"/>
    <w:rsid w:val="00513392"/>
    <w:rsid w:val="0051398A"/>
    <w:rsid w:val="0051434F"/>
    <w:rsid w:val="00514481"/>
    <w:rsid w:val="00514583"/>
    <w:rsid w:val="00514605"/>
    <w:rsid w:val="00514870"/>
    <w:rsid w:val="00514B9B"/>
    <w:rsid w:val="0051596D"/>
    <w:rsid w:val="005162ED"/>
    <w:rsid w:val="005163C7"/>
    <w:rsid w:val="005163E8"/>
    <w:rsid w:val="005168AE"/>
    <w:rsid w:val="00516954"/>
    <w:rsid w:val="00516966"/>
    <w:rsid w:val="0051703D"/>
    <w:rsid w:val="0051723D"/>
    <w:rsid w:val="00517919"/>
    <w:rsid w:val="00517DFB"/>
    <w:rsid w:val="00517F02"/>
    <w:rsid w:val="00520B81"/>
    <w:rsid w:val="00520D0D"/>
    <w:rsid w:val="00521094"/>
    <w:rsid w:val="005217D9"/>
    <w:rsid w:val="00521EAA"/>
    <w:rsid w:val="0052277A"/>
    <w:rsid w:val="00523347"/>
    <w:rsid w:val="0052422D"/>
    <w:rsid w:val="00524303"/>
    <w:rsid w:val="005249F9"/>
    <w:rsid w:val="00524F59"/>
    <w:rsid w:val="00525695"/>
    <w:rsid w:val="005258A2"/>
    <w:rsid w:val="00526E2B"/>
    <w:rsid w:val="005276DE"/>
    <w:rsid w:val="0053017A"/>
    <w:rsid w:val="00530279"/>
    <w:rsid w:val="00530A10"/>
    <w:rsid w:val="00530D1D"/>
    <w:rsid w:val="00530F64"/>
    <w:rsid w:val="005312DA"/>
    <w:rsid w:val="00533A70"/>
    <w:rsid w:val="0053424B"/>
    <w:rsid w:val="00534C4A"/>
    <w:rsid w:val="00535337"/>
    <w:rsid w:val="00535364"/>
    <w:rsid w:val="00535B18"/>
    <w:rsid w:val="00535E01"/>
    <w:rsid w:val="00535E7C"/>
    <w:rsid w:val="00536154"/>
    <w:rsid w:val="00536407"/>
    <w:rsid w:val="005368BD"/>
    <w:rsid w:val="00536AC8"/>
    <w:rsid w:val="00536E5A"/>
    <w:rsid w:val="00536F80"/>
    <w:rsid w:val="005373B8"/>
    <w:rsid w:val="005379D5"/>
    <w:rsid w:val="005401AE"/>
    <w:rsid w:val="005403CC"/>
    <w:rsid w:val="00542907"/>
    <w:rsid w:val="00542AB0"/>
    <w:rsid w:val="00542E07"/>
    <w:rsid w:val="00543357"/>
    <w:rsid w:val="005434E3"/>
    <w:rsid w:val="0054384F"/>
    <w:rsid w:val="005446A5"/>
    <w:rsid w:val="005449B7"/>
    <w:rsid w:val="0054500F"/>
    <w:rsid w:val="00545424"/>
    <w:rsid w:val="0054740A"/>
    <w:rsid w:val="005478DC"/>
    <w:rsid w:val="00547910"/>
    <w:rsid w:val="00547F45"/>
    <w:rsid w:val="005507B9"/>
    <w:rsid w:val="00550813"/>
    <w:rsid w:val="0055099A"/>
    <w:rsid w:val="00550D02"/>
    <w:rsid w:val="00550E2D"/>
    <w:rsid w:val="00553629"/>
    <w:rsid w:val="00553771"/>
    <w:rsid w:val="00553ABF"/>
    <w:rsid w:val="00553C7D"/>
    <w:rsid w:val="00554494"/>
    <w:rsid w:val="00554924"/>
    <w:rsid w:val="00554A7B"/>
    <w:rsid w:val="0055554A"/>
    <w:rsid w:val="0055572C"/>
    <w:rsid w:val="0055620E"/>
    <w:rsid w:val="00556CE0"/>
    <w:rsid w:val="00557B18"/>
    <w:rsid w:val="0056088E"/>
    <w:rsid w:val="005608F8"/>
    <w:rsid w:val="00560D97"/>
    <w:rsid w:val="00560F7C"/>
    <w:rsid w:val="0056106A"/>
    <w:rsid w:val="00561DA9"/>
    <w:rsid w:val="00562C15"/>
    <w:rsid w:val="00562D83"/>
    <w:rsid w:val="00562EF4"/>
    <w:rsid w:val="00562FE8"/>
    <w:rsid w:val="0056360E"/>
    <w:rsid w:val="0056405C"/>
    <w:rsid w:val="0056475D"/>
    <w:rsid w:val="00564ED3"/>
    <w:rsid w:val="00564F0A"/>
    <w:rsid w:val="00564F69"/>
    <w:rsid w:val="00565BBB"/>
    <w:rsid w:val="00565E55"/>
    <w:rsid w:val="00565FDA"/>
    <w:rsid w:val="00566291"/>
    <w:rsid w:val="00566C4D"/>
    <w:rsid w:val="005679AC"/>
    <w:rsid w:val="00570F09"/>
    <w:rsid w:val="00571520"/>
    <w:rsid w:val="005720AE"/>
    <w:rsid w:val="005725CC"/>
    <w:rsid w:val="005726E9"/>
    <w:rsid w:val="0057290E"/>
    <w:rsid w:val="00572B58"/>
    <w:rsid w:val="00573061"/>
    <w:rsid w:val="00573212"/>
    <w:rsid w:val="00573459"/>
    <w:rsid w:val="005735DB"/>
    <w:rsid w:val="00573DD9"/>
    <w:rsid w:val="005743AC"/>
    <w:rsid w:val="00574649"/>
    <w:rsid w:val="00574C6F"/>
    <w:rsid w:val="00574C78"/>
    <w:rsid w:val="00575B1A"/>
    <w:rsid w:val="00576113"/>
    <w:rsid w:val="005762F0"/>
    <w:rsid w:val="00576375"/>
    <w:rsid w:val="0057643B"/>
    <w:rsid w:val="0057660F"/>
    <w:rsid w:val="005766DD"/>
    <w:rsid w:val="00576AED"/>
    <w:rsid w:val="0057724B"/>
    <w:rsid w:val="005776FF"/>
    <w:rsid w:val="00580885"/>
    <w:rsid w:val="005818E9"/>
    <w:rsid w:val="0058214B"/>
    <w:rsid w:val="005832F6"/>
    <w:rsid w:val="005839C4"/>
    <w:rsid w:val="00583AEE"/>
    <w:rsid w:val="00584E52"/>
    <w:rsid w:val="005860C5"/>
    <w:rsid w:val="005870C5"/>
    <w:rsid w:val="00587263"/>
    <w:rsid w:val="005874B7"/>
    <w:rsid w:val="00587A7B"/>
    <w:rsid w:val="00587CA4"/>
    <w:rsid w:val="00587E12"/>
    <w:rsid w:val="00591537"/>
    <w:rsid w:val="00591FE2"/>
    <w:rsid w:val="005921F2"/>
    <w:rsid w:val="0059220B"/>
    <w:rsid w:val="0059274D"/>
    <w:rsid w:val="00592DD5"/>
    <w:rsid w:val="005934FB"/>
    <w:rsid w:val="00593FEF"/>
    <w:rsid w:val="00594CF6"/>
    <w:rsid w:val="00594D77"/>
    <w:rsid w:val="00594F8F"/>
    <w:rsid w:val="005958E6"/>
    <w:rsid w:val="00595E89"/>
    <w:rsid w:val="00596758"/>
    <w:rsid w:val="00596981"/>
    <w:rsid w:val="005969E4"/>
    <w:rsid w:val="0059701C"/>
    <w:rsid w:val="00597DED"/>
    <w:rsid w:val="00597FD5"/>
    <w:rsid w:val="005A0590"/>
    <w:rsid w:val="005A06B7"/>
    <w:rsid w:val="005A097B"/>
    <w:rsid w:val="005A1759"/>
    <w:rsid w:val="005A1B8D"/>
    <w:rsid w:val="005A48BF"/>
    <w:rsid w:val="005A4C3D"/>
    <w:rsid w:val="005A5AA6"/>
    <w:rsid w:val="005A5CAA"/>
    <w:rsid w:val="005A6380"/>
    <w:rsid w:val="005A64F1"/>
    <w:rsid w:val="005A6502"/>
    <w:rsid w:val="005A6731"/>
    <w:rsid w:val="005A6804"/>
    <w:rsid w:val="005A68A7"/>
    <w:rsid w:val="005A6F22"/>
    <w:rsid w:val="005A7C0F"/>
    <w:rsid w:val="005A7C42"/>
    <w:rsid w:val="005A7D9F"/>
    <w:rsid w:val="005B008E"/>
    <w:rsid w:val="005B0B42"/>
    <w:rsid w:val="005B141A"/>
    <w:rsid w:val="005B17A8"/>
    <w:rsid w:val="005B24D3"/>
    <w:rsid w:val="005B31BB"/>
    <w:rsid w:val="005B3918"/>
    <w:rsid w:val="005B4743"/>
    <w:rsid w:val="005B4BE9"/>
    <w:rsid w:val="005B4CE6"/>
    <w:rsid w:val="005B4EA6"/>
    <w:rsid w:val="005B674D"/>
    <w:rsid w:val="005B6AFE"/>
    <w:rsid w:val="005B77C1"/>
    <w:rsid w:val="005C035D"/>
    <w:rsid w:val="005C159E"/>
    <w:rsid w:val="005C17B1"/>
    <w:rsid w:val="005C2190"/>
    <w:rsid w:val="005C2238"/>
    <w:rsid w:val="005C2408"/>
    <w:rsid w:val="005C2682"/>
    <w:rsid w:val="005C406F"/>
    <w:rsid w:val="005C47AE"/>
    <w:rsid w:val="005C4A45"/>
    <w:rsid w:val="005C4B0B"/>
    <w:rsid w:val="005C572B"/>
    <w:rsid w:val="005C59C3"/>
    <w:rsid w:val="005C698D"/>
    <w:rsid w:val="005C6AD6"/>
    <w:rsid w:val="005C6DB6"/>
    <w:rsid w:val="005C768A"/>
    <w:rsid w:val="005C7A0C"/>
    <w:rsid w:val="005D0113"/>
    <w:rsid w:val="005D012C"/>
    <w:rsid w:val="005D030D"/>
    <w:rsid w:val="005D0C81"/>
    <w:rsid w:val="005D19FE"/>
    <w:rsid w:val="005D1C4C"/>
    <w:rsid w:val="005D292C"/>
    <w:rsid w:val="005D2E1F"/>
    <w:rsid w:val="005D36AB"/>
    <w:rsid w:val="005D3CAC"/>
    <w:rsid w:val="005D4A14"/>
    <w:rsid w:val="005D52F9"/>
    <w:rsid w:val="005D5575"/>
    <w:rsid w:val="005D62C6"/>
    <w:rsid w:val="005D6D74"/>
    <w:rsid w:val="005D6E4E"/>
    <w:rsid w:val="005D6F9D"/>
    <w:rsid w:val="005D7C15"/>
    <w:rsid w:val="005E1A0E"/>
    <w:rsid w:val="005E1C5F"/>
    <w:rsid w:val="005E1DED"/>
    <w:rsid w:val="005E1EE4"/>
    <w:rsid w:val="005E371D"/>
    <w:rsid w:val="005E4BC5"/>
    <w:rsid w:val="005E52CF"/>
    <w:rsid w:val="005E53B0"/>
    <w:rsid w:val="005E652D"/>
    <w:rsid w:val="005E72A2"/>
    <w:rsid w:val="005F0093"/>
    <w:rsid w:val="005F0373"/>
    <w:rsid w:val="005F201D"/>
    <w:rsid w:val="005F27E9"/>
    <w:rsid w:val="005F31CB"/>
    <w:rsid w:val="005F44FF"/>
    <w:rsid w:val="005F46B2"/>
    <w:rsid w:val="005F5415"/>
    <w:rsid w:val="005F556A"/>
    <w:rsid w:val="005F67D9"/>
    <w:rsid w:val="005F69B9"/>
    <w:rsid w:val="005F6C6A"/>
    <w:rsid w:val="005F6D10"/>
    <w:rsid w:val="005F7804"/>
    <w:rsid w:val="00600DA7"/>
    <w:rsid w:val="00600F5C"/>
    <w:rsid w:val="006013F1"/>
    <w:rsid w:val="006019DD"/>
    <w:rsid w:val="00601F88"/>
    <w:rsid w:val="006025FD"/>
    <w:rsid w:val="0060383E"/>
    <w:rsid w:val="00603D53"/>
    <w:rsid w:val="006047AC"/>
    <w:rsid w:val="0060526F"/>
    <w:rsid w:val="00605748"/>
    <w:rsid w:val="00606FDF"/>
    <w:rsid w:val="00607144"/>
    <w:rsid w:val="006071F4"/>
    <w:rsid w:val="006074B2"/>
    <w:rsid w:val="00607869"/>
    <w:rsid w:val="006102DD"/>
    <w:rsid w:val="006102ED"/>
    <w:rsid w:val="0061107A"/>
    <w:rsid w:val="00611270"/>
    <w:rsid w:val="00611705"/>
    <w:rsid w:val="00612133"/>
    <w:rsid w:val="0061291D"/>
    <w:rsid w:val="00614E1E"/>
    <w:rsid w:val="00615FC4"/>
    <w:rsid w:val="006163A7"/>
    <w:rsid w:val="006166E1"/>
    <w:rsid w:val="0061673A"/>
    <w:rsid w:val="00616800"/>
    <w:rsid w:val="00616FCC"/>
    <w:rsid w:val="0061736B"/>
    <w:rsid w:val="0061741E"/>
    <w:rsid w:val="00617CC3"/>
    <w:rsid w:val="00622151"/>
    <w:rsid w:val="006239A8"/>
    <w:rsid w:val="00623A4E"/>
    <w:rsid w:val="00623AD7"/>
    <w:rsid w:val="00623BF1"/>
    <w:rsid w:val="00623E7A"/>
    <w:rsid w:val="006242A8"/>
    <w:rsid w:val="0062438A"/>
    <w:rsid w:val="00624442"/>
    <w:rsid w:val="006256CA"/>
    <w:rsid w:val="0062582F"/>
    <w:rsid w:val="006265A8"/>
    <w:rsid w:val="00627940"/>
    <w:rsid w:val="00627AB1"/>
    <w:rsid w:val="00627AC2"/>
    <w:rsid w:val="00627E18"/>
    <w:rsid w:val="00627F81"/>
    <w:rsid w:val="00630CF2"/>
    <w:rsid w:val="006326AC"/>
    <w:rsid w:val="00632F1F"/>
    <w:rsid w:val="00633B79"/>
    <w:rsid w:val="0063497D"/>
    <w:rsid w:val="00634E29"/>
    <w:rsid w:val="00634EA5"/>
    <w:rsid w:val="0063513B"/>
    <w:rsid w:val="0063524C"/>
    <w:rsid w:val="0063541A"/>
    <w:rsid w:val="0063581A"/>
    <w:rsid w:val="00635861"/>
    <w:rsid w:val="00635881"/>
    <w:rsid w:val="00635E3B"/>
    <w:rsid w:val="006364C4"/>
    <w:rsid w:val="006367D7"/>
    <w:rsid w:val="00636937"/>
    <w:rsid w:val="00636E03"/>
    <w:rsid w:val="0063701B"/>
    <w:rsid w:val="006377A6"/>
    <w:rsid w:val="00637A3D"/>
    <w:rsid w:val="006400D4"/>
    <w:rsid w:val="006406B3"/>
    <w:rsid w:val="0064074A"/>
    <w:rsid w:val="00640C79"/>
    <w:rsid w:val="00640F55"/>
    <w:rsid w:val="00640F7E"/>
    <w:rsid w:val="006411EF"/>
    <w:rsid w:val="00641ED3"/>
    <w:rsid w:val="00642564"/>
    <w:rsid w:val="00642DB6"/>
    <w:rsid w:val="006440B2"/>
    <w:rsid w:val="0064445C"/>
    <w:rsid w:val="0064459D"/>
    <w:rsid w:val="006445F9"/>
    <w:rsid w:val="00645FCA"/>
    <w:rsid w:val="00646041"/>
    <w:rsid w:val="0064641A"/>
    <w:rsid w:val="00647034"/>
    <w:rsid w:val="006472FE"/>
    <w:rsid w:val="0064758C"/>
    <w:rsid w:val="006477F0"/>
    <w:rsid w:val="0065012A"/>
    <w:rsid w:val="006501D3"/>
    <w:rsid w:val="0065080A"/>
    <w:rsid w:val="00650ED3"/>
    <w:rsid w:val="00651189"/>
    <w:rsid w:val="0065176C"/>
    <w:rsid w:val="006517E2"/>
    <w:rsid w:val="006544DB"/>
    <w:rsid w:val="006547B0"/>
    <w:rsid w:val="0065494C"/>
    <w:rsid w:val="00654D85"/>
    <w:rsid w:val="0065633F"/>
    <w:rsid w:val="006568D2"/>
    <w:rsid w:val="00657439"/>
    <w:rsid w:val="006602C0"/>
    <w:rsid w:val="006602CE"/>
    <w:rsid w:val="00660D30"/>
    <w:rsid w:val="00661706"/>
    <w:rsid w:val="00661782"/>
    <w:rsid w:val="006623BF"/>
    <w:rsid w:val="0066255E"/>
    <w:rsid w:val="00662BF8"/>
    <w:rsid w:val="00663429"/>
    <w:rsid w:val="006634D8"/>
    <w:rsid w:val="00663FA2"/>
    <w:rsid w:val="006647E7"/>
    <w:rsid w:val="006659A1"/>
    <w:rsid w:val="006662A2"/>
    <w:rsid w:val="006673C1"/>
    <w:rsid w:val="0067003B"/>
    <w:rsid w:val="006706F6"/>
    <w:rsid w:val="00670B6A"/>
    <w:rsid w:val="00670E23"/>
    <w:rsid w:val="00671738"/>
    <w:rsid w:val="00671797"/>
    <w:rsid w:val="00673298"/>
    <w:rsid w:val="006736AB"/>
    <w:rsid w:val="00674052"/>
    <w:rsid w:val="006744C0"/>
    <w:rsid w:val="006748B8"/>
    <w:rsid w:val="00675588"/>
    <w:rsid w:val="006758AD"/>
    <w:rsid w:val="0067633C"/>
    <w:rsid w:val="00676D5C"/>
    <w:rsid w:val="00676DB4"/>
    <w:rsid w:val="006770E7"/>
    <w:rsid w:val="006775C3"/>
    <w:rsid w:val="0067776C"/>
    <w:rsid w:val="00677785"/>
    <w:rsid w:val="00680036"/>
    <w:rsid w:val="00680794"/>
    <w:rsid w:val="00680F9F"/>
    <w:rsid w:val="00681EB6"/>
    <w:rsid w:val="00682216"/>
    <w:rsid w:val="00682976"/>
    <w:rsid w:val="00683055"/>
    <w:rsid w:val="006830BB"/>
    <w:rsid w:val="006834DD"/>
    <w:rsid w:val="006836C0"/>
    <w:rsid w:val="006842D5"/>
    <w:rsid w:val="00684F61"/>
    <w:rsid w:val="00685125"/>
    <w:rsid w:val="0068540F"/>
    <w:rsid w:val="00685949"/>
    <w:rsid w:val="00685BF6"/>
    <w:rsid w:val="00685D55"/>
    <w:rsid w:val="00686869"/>
    <w:rsid w:val="00686D23"/>
    <w:rsid w:val="0068704B"/>
    <w:rsid w:val="00687134"/>
    <w:rsid w:val="006907A5"/>
    <w:rsid w:val="00690931"/>
    <w:rsid w:val="00690CBA"/>
    <w:rsid w:val="00691549"/>
    <w:rsid w:val="006915DF"/>
    <w:rsid w:val="0069178B"/>
    <w:rsid w:val="00691A77"/>
    <w:rsid w:val="00691F34"/>
    <w:rsid w:val="0069290A"/>
    <w:rsid w:val="006931A6"/>
    <w:rsid w:val="006933CB"/>
    <w:rsid w:val="0069367B"/>
    <w:rsid w:val="0069395B"/>
    <w:rsid w:val="00693AD0"/>
    <w:rsid w:val="00693CF2"/>
    <w:rsid w:val="00694218"/>
    <w:rsid w:val="00694816"/>
    <w:rsid w:val="0069504B"/>
    <w:rsid w:val="006951E0"/>
    <w:rsid w:val="00695BAE"/>
    <w:rsid w:val="00696F85"/>
    <w:rsid w:val="006975D0"/>
    <w:rsid w:val="006976EF"/>
    <w:rsid w:val="0069775A"/>
    <w:rsid w:val="00697813"/>
    <w:rsid w:val="00697D9C"/>
    <w:rsid w:val="006A130A"/>
    <w:rsid w:val="006A19DD"/>
    <w:rsid w:val="006A1EA0"/>
    <w:rsid w:val="006A1F50"/>
    <w:rsid w:val="006A244A"/>
    <w:rsid w:val="006A2819"/>
    <w:rsid w:val="006A29C3"/>
    <w:rsid w:val="006A3295"/>
    <w:rsid w:val="006A383B"/>
    <w:rsid w:val="006A39DC"/>
    <w:rsid w:val="006A3EE8"/>
    <w:rsid w:val="006A49BB"/>
    <w:rsid w:val="006A4C27"/>
    <w:rsid w:val="006A5B73"/>
    <w:rsid w:val="006A5CCB"/>
    <w:rsid w:val="006A5FEB"/>
    <w:rsid w:val="006A69FB"/>
    <w:rsid w:val="006A6DC0"/>
    <w:rsid w:val="006A72BF"/>
    <w:rsid w:val="006B03F2"/>
    <w:rsid w:val="006B0A72"/>
    <w:rsid w:val="006B103E"/>
    <w:rsid w:val="006B14F5"/>
    <w:rsid w:val="006B1FFA"/>
    <w:rsid w:val="006B2728"/>
    <w:rsid w:val="006B27A5"/>
    <w:rsid w:val="006B2D52"/>
    <w:rsid w:val="006B335D"/>
    <w:rsid w:val="006B37DC"/>
    <w:rsid w:val="006B37DE"/>
    <w:rsid w:val="006B37E9"/>
    <w:rsid w:val="006B3F70"/>
    <w:rsid w:val="006B4957"/>
    <w:rsid w:val="006B4D4C"/>
    <w:rsid w:val="006B4F68"/>
    <w:rsid w:val="006B583C"/>
    <w:rsid w:val="006B6BAC"/>
    <w:rsid w:val="006B6E36"/>
    <w:rsid w:val="006B78EF"/>
    <w:rsid w:val="006B790A"/>
    <w:rsid w:val="006C0592"/>
    <w:rsid w:val="006C0701"/>
    <w:rsid w:val="006C0A74"/>
    <w:rsid w:val="006C1ED3"/>
    <w:rsid w:val="006C272E"/>
    <w:rsid w:val="006C2792"/>
    <w:rsid w:val="006C27CB"/>
    <w:rsid w:val="006C2BC1"/>
    <w:rsid w:val="006C357A"/>
    <w:rsid w:val="006C431B"/>
    <w:rsid w:val="006C4984"/>
    <w:rsid w:val="006C4D8A"/>
    <w:rsid w:val="006C4E86"/>
    <w:rsid w:val="006C5479"/>
    <w:rsid w:val="006C59AD"/>
    <w:rsid w:val="006C5A04"/>
    <w:rsid w:val="006C5A63"/>
    <w:rsid w:val="006C5C0A"/>
    <w:rsid w:val="006D0937"/>
    <w:rsid w:val="006D0B1A"/>
    <w:rsid w:val="006D0F94"/>
    <w:rsid w:val="006D13B5"/>
    <w:rsid w:val="006D1421"/>
    <w:rsid w:val="006D16F2"/>
    <w:rsid w:val="006D28E0"/>
    <w:rsid w:val="006D39F2"/>
    <w:rsid w:val="006D3CAA"/>
    <w:rsid w:val="006D3FC1"/>
    <w:rsid w:val="006D4378"/>
    <w:rsid w:val="006D44CD"/>
    <w:rsid w:val="006D48AE"/>
    <w:rsid w:val="006D52A9"/>
    <w:rsid w:val="006D585E"/>
    <w:rsid w:val="006D5A64"/>
    <w:rsid w:val="006D6009"/>
    <w:rsid w:val="006D60E1"/>
    <w:rsid w:val="006D6840"/>
    <w:rsid w:val="006D7716"/>
    <w:rsid w:val="006D79EC"/>
    <w:rsid w:val="006E12FF"/>
    <w:rsid w:val="006E2281"/>
    <w:rsid w:val="006E2541"/>
    <w:rsid w:val="006E304E"/>
    <w:rsid w:val="006E30E2"/>
    <w:rsid w:val="006E3E85"/>
    <w:rsid w:val="006E413E"/>
    <w:rsid w:val="006E456F"/>
    <w:rsid w:val="006E53F8"/>
    <w:rsid w:val="006E607E"/>
    <w:rsid w:val="006E656C"/>
    <w:rsid w:val="006E65D7"/>
    <w:rsid w:val="006E6A5C"/>
    <w:rsid w:val="006E77CE"/>
    <w:rsid w:val="006E7C27"/>
    <w:rsid w:val="006F17BA"/>
    <w:rsid w:val="006F17D8"/>
    <w:rsid w:val="006F18B1"/>
    <w:rsid w:val="006F3C1E"/>
    <w:rsid w:val="006F3CA5"/>
    <w:rsid w:val="006F49C8"/>
    <w:rsid w:val="006F4AE7"/>
    <w:rsid w:val="006F4F8D"/>
    <w:rsid w:val="006F5F70"/>
    <w:rsid w:val="006F6D2A"/>
    <w:rsid w:val="006F7455"/>
    <w:rsid w:val="006F76B2"/>
    <w:rsid w:val="00700A03"/>
    <w:rsid w:val="00700C5F"/>
    <w:rsid w:val="007013B6"/>
    <w:rsid w:val="00702D06"/>
    <w:rsid w:val="00702F1B"/>
    <w:rsid w:val="007039C5"/>
    <w:rsid w:val="00703F04"/>
    <w:rsid w:val="00705410"/>
    <w:rsid w:val="00706A92"/>
    <w:rsid w:val="00706C5D"/>
    <w:rsid w:val="0070727F"/>
    <w:rsid w:val="0070734F"/>
    <w:rsid w:val="00710380"/>
    <w:rsid w:val="00710663"/>
    <w:rsid w:val="007106A1"/>
    <w:rsid w:val="00710C7F"/>
    <w:rsid w:val="0071116F"/>
    <w:rsid w:val="00711CBB"/>
    <w:rsid w:val="00711F2B"/>
    <w:rsid w:val="00712A23"/>
    <w:rsid w:val="007133CF"/>
    <w:rsid w:val="007139C6"/>
    <w:rsid w:val="00713B08"/>
    <w:rsid w:val="00713D13"/>
    <w:rsid w:val="00714EC6"/>
    <w:rsid w:val="0071506F"/>
    <w:rsid w:val="0071572A"/>
    <w:rsid w:val="007158BF"/>
    <w:rsid w:val="0071623D"/>
    <w:rsid w:val="00716D69"/>
    <w:rsid w:val="00720AD1"/>
    <w:rsid w:val="0072176C"/>
    <w:rsid w:val="007219FB"/>
    <w:rsid w:val="00721D47"/>
    <w:rsid w:val="00721D4C"/>
    <w:rsid w:val="00722B68"/>
    <w:rsid w:val="00722D41"/>
    <w:rsid w:val="00722FBE"/>
    <w:rsid w:val="00723190"/>
    <w:rsid w:val="007236CB"/>
    <w:rsid w:val="00723759"/>
    <w:rsid w:val="007243FD"/>
    <w:rsid w:val="007246D0"/>
    <w:rsid w:val="00724D90"/>
    <w:rsid w:val="0072558C"/>
    <w:rsid w:val="00725964"/>
    <w:rsid w:val="007268B2"/>
    <w:rsid w:val="00726ACD"/>
    <w:rsid w:val="00726C62"/>
    <w:rsid w:val="00727124"/>
    <w:rsid w:val="00727B99"/>
    <w:rsid w:val="007314CC"/>
    <w:rsid w:val="00731520"/>
    <w:rsid w:val="00731A05"/>
    <w:rsid w:val="0073204A"/>
    <w:rsid w:val="00732922"/>
    <w:rsid w:val="0073326D"/>
    <w:rsid w:val="007334BA"/>
    <w:rsid w:val="00734128"/>
    <w:rsid w:val="00734737"/>
    <w:rsid w:val="00734BFE"/>
    <w:rsid w:val="0073515B"/>
    <w:rsid w:val="0073664C"/>
    <w:rsid w:val="007367C0"/>
    <w:rsid w:val="00736867"/>
    <w:rsid w:val="00736E27"/>
    <w:rsid w:val="00740823"/>
    <w:rsid w:val="00742341"/>
    <w:rsid w:val="007425B3"/>
    <w:rsid w:val="0074352B"/>
    <w:rsid w:val="007435B8"/>
    <w:rsid w:val="00745248"/>
    <w:rsid w:val="007459EC"/>
    <w:rsid w:val="00745D6F"/>
    <w:rsid w:val="0074632D"/>
    <w:rsid w:val="00746610"/>
    <w:rsid w:val="00746959"/>
    <w:rsid w:val="007469DB"/>
    <w:rsid w:val="00746A78"/>
    <w:rsid w:val="00750328"/>
    <w:rsid w:val="00750B00"/>
    <w:rsid w:val="00750E75"/>
    <w:rsid w:val="0075133E"/>
    <w:rsid w:val="0075162E"/>
    <w:rsid w:val="00751794"/>
    <w:rsid w:val="00751852"/>
    <w:rsid w:val="00751C70"/>
    <w:rsid w:val="00751CA7"/>
    <w:rsid w:val="00754034"/>
    <w:rsid w:val="00755474"/>
    <w:rsid w:val="00755E6B"/>
    <w:rsid w:val="00756461"/>
    <w:rsid w:val="00756556"/>
    <w:rsid w:val="00756B52"/>
    <w:rsid w:val="00756E78"/>
    <w:rsid w:val="007575C5"/>
    <w:rsid w:val="00757CAD"/>
    <w:rsid w:val="00760247"/>
    <w:rsid w:val="007602E4"/>
    <w:rsid w:val="0076068D"/>
    <w:rsid w:val="007612CD"/>
    <w:rsid w:val="007618C4"/>
    <w:rsid w:val="00761A95"/>
    <w:rsid w:val="00761F5E"/>
    <w:rsid w:val="007620BA"/>
    <w:rsid w:val="00762873"/>
    <w:rsid w:val="00762A0D"/>
    <w:rsid w:val="0076309C"/>
    <w:rsid w:val="00763DC5"/>
    <w:rsid w:val="00767980"/>
    <w:rsid w:val="0077005F"/>
    <w:rsid w:val="00770B19"/>
    <w:rsid w:val="007714D4"/>
    <w:rsid w:val="0077163F"/>
    <w:rsid w:val="00771C36"/>
    <w:rsid w:val="00771D42"/>
    <w:rsid w:val="007720F5"/>
    <w:rsid w:val="00772337"/>
    <w:rsid w:val="00772415"/>
    <w:rsid w:val="007732AD"/>
    <w:rsid w:val="00773A0D"/>
    <w:rsid w:val="00773C5E"/>
    <w:rsid w:val="00774263"/>
    <w:rsid w:val="0077463F"/>
    <w:rsid w:val="007748EB"/>
    <w:rsid w:val="007759C4"/>
    <w:rsid w:val="00775C65"/>
    <w:rsid w:val="0077692E"/>
    <w:rsid w:val="00777010"/>
    <w:rsid w:val="007773F9"/>
    <w:rsid w:val="007778D4"/>
    <w:rsid w:val="00780361"/>
    <w:rsid w:val="007803B6"/>
    <w:rsid w:val="0078093E"/>
    <w:rsid w:val="00780E4B"/>
    <w:rsid w:val="007813EB"/>
    <w:rsid w:val="00781A11"/>
    <w:rsid w:val="00782AB2"/>
    <w:rsid w:val="00782F23"/>
    <w:rsid w:val="007836EA"/>
    <w:rsid w:val="0078397B"/>
    <w:rsid w:val="00784B52"/>
    <w:rsid w:val="00784CDA"/>
    <w:rsid w:val="00784D13"/>
    <w:rsid w:val="00784F82"/>
    <w:rsid w:val="0078601A"/>
    <w:rsid w:val="007868AC"/>
    <w:rsid w:val="00786C6D"/>
    <w:rsid w:val="00787555"/>
    <w:rsid w:val="00787569"/>
    <w:rsid w:val="0078768B"/>
    <w:rsid w:val="007902D5"/>
    <w:rsid w:val="007906C4"/>
    <w:rsid w:val="0079156D"/>
    <w:rsid w:val="00791D53"/>
    <w:rsid w:val="00792378"/>
    <w:rsid w:val="00792718"/>
    <w:rsid w:val="00792C23"/>
    <w:rsid w:val="0079311F"/>
    <w:rsid w:val="00793AB3"/>
    <w:rsid w:val="00793CD2"/>
    <w:rsid w:val="007940EA"/>
    <w:rsid w:val="00795105"/>
    <w:rsid w:val="007967E8"/>
    <w:rsid w:val="007A06FF"/>
    <w:rsid w:val="007A09DA"/>
    <w:rsid w:val="007A0C6E"/>
    <w:rsid w:val="007A0D11"/>
    <w:rsid w:val="007A0F18"/>
    <w:rsid w:val="007A11F1"/>
    <w:rsid w:val="007A166C"/>
    <w:rsid w:val="007A1772"/>
    <w:rsid w:val="007A2170"/>
    <w:rsid w:val="007A22BF"/>
    <w:rsid w:val="007A2968"/>
    <w:rsid w:val="007A2EEB"/>
    <w:rsid w:val="007A3323"/>
    <w:rsid w:val="007A388F"/>
    <w:rsid w:val="007A3DD8"/>
    <w:rsid w:val="007A4536"/>
    <w:rsid w:val="007A47BD"/>
    <w:rsid w:val="007A4DFA"/>
    <w:rsid w:val="007A5530"/>
    <w:rsid w:val="007A5534"/>
    <w:rsid w:val="007A5B25"/>
    <w:rsid w:val="007A5F4A"/>
    <w:rsid w:val="007A6091"/>
    <w:rsid w:val="007A6779"/>
    <w:rsid w:val="007A72E0"/>
    <w:rsid w:val="007A74B6"/>
    <w:rsid w:val="007A74F3"/>
    <w:rsid w:val="007B04D4"/>
    <w:rsid w:val="007B10B1"/>
    <w:rsid w:val="007B11B0"/>
    <w:rsid w:val="007B279D"/>
    <w:rsid w:val="007B315B"/>
    <w:rsid w:val="007B347B"/>
    <w:rsid w:val="007B373C"/>
    <w:rsid w:val="007B4B5E"/>
    <w:rsid w:val="007B4C28"/>
    <w:rsid w:val="007B535C"/>
    <w:rsid w:val="007B55A9"/>
    <w:rsid w:val="007B55C1"/>
    <w:rsid w:val="007B5A1D"/>
    <w:rsid w:val="007B5B6C"/>
    <w:rsid w:val="007B7051"/>
    <w:rsid w:val="007B72B8"/>
    <w:rsid w:val="007B72E7"/>
    <w:rsid w:val="007B756E"/>
    <w:rsid w:val="007B7A58"/>
    <w:rsid w:val="007C12F3"/>
    <w:rsid w:val="007C15E1"/>
    <w:rsid w:val="007C1CE0"/>
    <w:rsid w:val="007C1F14"/>
    <w:rsid w:val="007C21B5"/>
    <w:rsid w:val="007C22C5"/>
    <w:rsid w:val="007C27A5"/>
    <w:rsid w:val="007C2D5C"/>
    <w:rsid w:val="007C310B"/>
    <w:rsid w:val="007C374A"/>
    <w:rsid w:val="007C400A"/>
    <w:rsid w:val="007C4CBC"/>
    <w:rsid w:val="007C4EF8"/>
    <w:rsid w:val="007C4F49"/>
    <w:rsid w:val="007C4F90"/>
    <w:rsid w:val="007C5F71"/>
    <w:rsid w:val="007C70FC"/>
    <w:rsid w:val="007C71C5"/>
    <w:rsid w:val="007C7514"/>
    <w:rsid w:val="007C76B7"/>
    <w:rsid w:val="007C7ACF"/>
    <w:rsid w:val="007C7EE3"/>
    <w:rsid w:val="007D01C1"/>
    <w:rsid w:val="007D12EC"/>
    <w:rsid w:val="007D17F7"/>
    <w:rsid w:val="007D1B76"/>
    <w:rsid w:val="007D1FA2"/>
    <w:rsid w:val="007D2249"/>
    <w:rsid w:val="007D2B82"/>
    <w:rsid w:val="007D31A4"/>
    <w:rsid w:val="007D33AC"/>
    <w:rsid w:val="007D3621"/>
    <w:rsid w:val="007D3771"/>
    <w:rsid w:val="007D38F9"/>
    <w:rsid w:val="007D487A"/>
    <w:rsid w:val="007D52EC"/>
    <w:rsid w:val="007D5DCE"/>
    <w:rsid w:val="007D7404"/>
    <w:rsid w:val="007D76BB"/>
    <w:rsid w:val="007D79D5"/>
    <w:rsid w:val="007E04D1"/>
    <w:rsid w:val="007E0555"/>
    <w:rsid w:val="007E0B6A"/>
    <w:rsid w:val="007E0BB6"/>
    <w:rsid w:val="007E1026"/>
    <w:rsid w:val="007E183D"/>
    <w:rsid w:val="007E21B7"/>
    <w:rsid w:val="007E266A"/>
    <w:rsid w:val="007E276F"/>
    <w:rsid w:val="007E36D9"/>
    <w:rsid w:val="007E37E2"/>
    <w:rsid w:val="007E3D49"/>
    <w:rsid w:val="007E4BD2"/>
    <w:rsid w:val="007E54E6"/>
    <w:rsid w:val="007E68EA"/>
    <w:rsid w:val="007E6917"/>
    <w:rsid w:val="007E6B35"/>
    <w:rsid w:val="007E6C7E"/>
    <w:rsid w:val="007E6D21"/>
    <w:rsid w:val="007E736F"/>
    <w:rsid w:val="007E7895"/>
    <w:rsid w:val="007F023B"/>
    <w:rsid w:val="007F074D"/>
    <w:rsid w:val="007F0859"/>
    <w:rsid w:val="007F118D"/>
    <w:rsid w:val="007F18C0"/>
    <w:rsid w:val="007F1FA4"/>
    <w:rsid w:val="007F208A"/>
    <w:rsid w:val="007F22F6"/>
    <w:rsid w:val="007F2B11"/>
    <w:rsid w:val="007F2ECD"/>
    <w:rsid w:val="007F3759"/>
    <w:rsid w:val="007F3ACB"/>
    <w:rsid w:val="007F44E1"/>
    <w:rsid w:val="007F4DF8"/>
    <w:rsid w:val="007F5089"/>
    <w:rsid w:val="007F50B6"/>
    <w:rsid w:val="007F65D9"/>
    <w:rsid w:val="007F68C8"/>
    <w:rsid w:val="007F6BC4"/>
    <w:rsid w:val="007F78CD"/>
    <w:rsid w:val="007F7B16"/>
    <w:rsid w:val="008004F2"/>
    <w:rsid w:val="00801059"/>
    <w:rsid w:val="00801393"/>
    <w:rsid w:val="00801B95"/>
    <w:rsid w:val="0080214E"/>
    <w:rsid w:val="00802B64"/>
    <w:rsid w:val="00802BA5"/>
    <w:rsid w:val="00802D70"/>
    <w:rsid w:val="00802F88"/>
    <w:rsid w:val="00803058"/>
    <w:rsid w:val="00803702"/>
    <w:rsid w:val="00803A73"/>
    <w:rsid w:val="008044B4"/>
    <w:rsid w:val="008046CA"/>
    <w:rsid w:val="0080472E"/>
    <w:rsid w:val="00805849"/>
    <w:rsid w:val="0080587F"/>
    <w:rsid w:val="00805D52"/>
    <w:rsid w:val="00805FD6"/>
    <w:rsid w:val="00806A7E"/>
    <w:rsid w:val="00807722"/>
    <w:rsid w:val="00807968"/>
    <w:rsid w:val="00810DD2"/>
    <w:rsid w:val="00811221"/>
    <w:rsid w:val="00811CFC"/>
    <w:rsid w:val="0081205B"/>
    <w:rsid w:val="0081293E"/>
    <w:rsid w:val="00813BA8"/>
    <w:rsid w:val="008148E6"/>
    <w:rsid w:val="0081493D"/>
    <w:rsid w:val="00814AB0"/>
    <w:rsid w:val="00815465"/>
    <w:rsid w:val="00815CFA"/>
    <w:rsid w:val="00816A47"/>
    <w:rsid w:val="008170FB"/>
    <w:rsid w:val="008177DC"/>
    <w:rsid w:val="00817C68"/>
    <w:rsid w:val="00817E9A"/>
    <w:rsid w:val="008203E2"/>
    <w:rsid w:val="00820C7A"/>
    <w:rsid w:val="008214A8"/>
    <w:rsid w:val="00821605"/>
    <w:rsid w:val="008219B7"/>
    <w:rsid w:val="00822592"/>
    <w:rsid w:val="00822829"/>
    <w:rsid w:val="0082328A"/>
    <w:rsid w:val="00824AC3"/>
    <w:rsid w:val="00824B8C"/>
    <w:rsid w:val="008261E2"/>
    <w:rsid w:val="008269AB"/>
    <w:rsid w:val="00827A3D"/>
    <w:rsid w:val="00827C98"/>
    <w:rsid w:val="008306BD"/>
    <w:rsid w:val="0083077E"/>
    <w:rsid w:val="008312EC"/>
    <w:rsid w:val="00831A80"/>
    <w:rsid w:val="008326C5"/>
    <w:rsid w:val="0083334C"/>
    <w:rsid w:val="008334EB"/>
    <w:rsid w:val="00833743"/>
    <w:rsid w:val="00833852"/>
    <w:rsid w:val="008340A4"/>
    <w:rsid w:val="0083411D"/>
    <w:rsid w:val="0083457D"/>
    <w:rsid w:val="00834AB6"/>
    <w:rsid w:val="00835716"/>
    <w:rsid w:val="00836B26"/>
    <w:rsid w:val="00836CB8"/>
    <w:rsid w:val="00836FE5"/>
    <w:rsid w:val="008373B1"/>
    <w:rsid w:val="008376AA"/>
    <w:rsid w:val="008378C7"/>
    <w:rsid w:val="00837D4F"/>
    <w:rsid w:val="00841248"/>
    <w:rsid w:val="00841A54"/>
    <w:rsid w:val="00842399"/>
    <w:rsid w:val="00842A52"/>
    <w:rsid w:val="00842AD1"/>
    <w:rsid w:val="00843A52"/>
    <w:rsid w:val="0084445A"/>
    <w:rsid w:val="00844486"/>
    <w:rsid w:val="008452BB"/>
    <w:rsid w:val="00846238"/>
    <w:rsid w:val="008462AB"/>
    <w:rsid w:val="00846B6D"/>
    <w:rsid w:val="008471E2"/>
    <w:rsid w:val="008479D0"/>
    <w:rsid w:val="00847A19"/>
    <w:rsid w:val="00847CFF"/>
    <w:rsid w:val="00850149"/>
    <w:rsid w:val="00850A3E"/>
    <w:rsid w:val="008514F2"/>
    <w:rsid w:val="00851C59"/>
    <w:rsid w:val="00851FF5"/>
    <w:rsid w:val="00852002"/>
    <w:rsid w:val="00852526"/>
    <w:rsid w:val="00853A42"/>
    <w:rsid w:val="00853B3F"/>
    <w:rsid w:val="00853D6E"/>
    <w:rsid w:val="00854CAF"/>
    <w:rsid w:val="00855059"/>
    <w:rsid w:val="0085521E"/>
    <w:rsid w:val="00855A09"/>
    <w:rsid w:val="00855C9D"/>
    <w:rsid w:val="00856354"/>
    <w:rsid w:val="008567B6"/>
    <w:rsid w:val="00856B58"/>
    <w:rsid w:val="00857AEF"/>
    <w:rsid w:val="00857EAA"/>
    <w:rsid w:val="008608BF"/>
    <w:rsid w:val="00860FB8"/>
    <w:rsid w:val="0086152C"/>
    <w:rsid w:val="00861632"/>
    <w:rsid w:val="00861A17"/>
    <w:rsid w:val="00861B15"/>
    <w:rsid w:val="00862C19"/>
    <w:rsid w:val="008638C8"/>
    <w:rsid w:val="00863ACC"/>
    <w:rsid w:val="00865097"/>
    <w:rsid w:val="008652DA"/>
    <w:rsid w:val="0086548B"/>
    <w:rsid w:val="00865719"/>
    <w:rsid w:val="00865858"/>
    <w:rsid w:val="008665ED"/>
    <w:rsid w:val="0086698E"/>
    <w:rsid w:val="008677B3"/>
    <w:rsid w:val="00867872"/>
    <w:rsid w:val="00867B9F"/>
    <w:rsid w:val="00867E71"/>
    <w:rsid w:val="008700CA"/>
    <w:rsid w:val="00870FF3"/>
    <w:rsid w:val="0087135F"/>
    <w:rsid w:val="00872831"/>
    <w:rsid w:val="00872927"/>
    <w:rsid w:val="00872BE5"/>
    <w:rsid w:val="00872CF4"/>
    <w:rsid w:val="00872D94"/>
    <w:rsid w:val="00873323"/>
    <w:rsid w:val="00873787"/>
    <w:rsid w:val="00873995"/>
    <w:rsid w:val="00873AD6"/>
    <w:rsid w:val="00873B6B"/>
    <w:rsid w:val="008759FC"/>
    <w:rsid w:val="00875F86"/>
    <w:rsid w:val="008762E6"/>
    <w:rsid w:val="008768DD"/>
    <w:rsid w:val="008768FA"/>
    <w:rsid w:val="0087743D"/>
    <w:rsid w:val="0087784B"/>
    <w:rsid w:val="0087796F"/>
    <w:rsid w:val="00880364"/>
    <w:rsid w:val="008810CB"/>
    <w:rsid w:val="00881666"/>
    <w:rsid w:val="00881967"/>
    <w:rsid w:val="00881CB3"/>
    <w:rsid w:val="00881DBC"/>
    <w:rsid w:val="00882913"/>
    <w:rsid w:val="008830A4"/>
    <w:rsid w:val="00883487"/>
    <w:rsid w:val="0088376F"/>
    <w:rsid w:val="00883B6C"/>
    <w:rsid w:val="00883D30"/>
    <w:rsid w:val="00884CCF"/>
    <w:rsid w:val="00885D75"/>
    <w:rsid w:val="00886C7C"/>
    <w:rsid w:val="008905B5"/>
    <w:rsid w:val="0089084B"/>
    <w:rsid w:val="00891592"/>
    <w:rsid w:val="00891E9E"/>
    <w:rsid w:val="00891EC4"/>
    <w:rsid w:val="00892F0F"/>
    <w:rsid w:val="00893253"/>
    <w:rsid w:val="00893588"/>
    <w:rsid w:val="00893745"/>
    <w:rsid w:val="00894808"/>
    <w:rsid w:val="0089518B"/>
    <w:rsid w:val="008953A0"/>
    <w:rsid w:val="008959A3"/>
    <w:rsid w:val="00895AE2"/>
    <w:rsid w:val="00895F44"/>
    <w:rsid w:val="0089638D"/>
    <w:rsid w:val="0089643A"/>
    <w:rsid w:val="008964FE"/>
    <w:rsid w:val="00896C1B"/>
    <w:rsid w:val="00897127"/>
    <w:rsid w:val="0089721F"/>
    <w:rsid w:val="00897546"/>
    <w:rsid w:val="0089788E"/>
    <w:rsid w:val="00897DB4"/>
    <w:rsid w:val="008A0166"/>
    <w:rsid w:val="008A0175"/>
    <w:rsid w:val="008A04E4"/>
    <w:rsid w:val="008A110E"/>
    <w:rsid w:val="008A1A37"/>
    <w:rsid w:val="008A1E1D"/>
    <w:rsid w:val="008A234E"/>
    <w:rsid w:val="008A2383"/>
    <w:rsid w:val="008A24BC"/>
    <w:rsid w:val="008A2A1C"/>
    <w:rsid w:val="008A2F68"/>
    <w:rsid w:val="008A3605"/>
    <w:rsid w:val="008A379D"/>
    <w:rsid w:val="008A3B19"/>
    <w:rsid w:val="008A49D2"/>
    <w:rsid w:val="008A588F"/>
    <w:rsid w:val="008A6047"/>
    <w:rsid w:val="008A629B"/>
    <w:rsid w:val="008A6AA1"/>
    <w:rsid w:val="008A70FF"/>
    <w:rsid w:val="008A7540"/>
    <w:rsid w:val="008A7D84"/>
    <w:rsid w:val="008B04C6"/>
    <w:rsid w:val="008B0915"/>
    <w:rsid w:val="008B1134"/>
    <w:rsid w:val="008B128C"/>
    <w:rsid w:val="008B1D16"/>
    <w:rsid w:val="008B1FC1"/>
    <w:rsid w:val="008B2094"/>
    <w:rsid w:val="008B20C9"/>
    <w:rsid w:val="008B2631"/>
    <w:rsid w:val="008B280E"/>
    <w:rsid w:val="008B29E4"/>
    <w:rsid w:val="008B3CC5"/>
    <w:rsid w:val="008B3D1D"/>
    <w:rsid w:val="008B4FA6"/>
    <w:rsid w:val="008B51E4"/>
    <w:rsid w:val="008B5282"/>
    <w:rsid w:val="008B5499"/>
    <w:rsid w:val="008B58BE"/>
    <w:rsid w:val="008B595C"/>
    <w:rsid w:val="008B5A81"/>
    <w:rsid w:val="008B646C"/>
    <w:rsid w:val="008B669F"/>
    <w:rsid w:val="008B7C17"/>
    <w:rsid w:val="008B7D43"/>
    <w:rsid w:val="008C1044"/>
    <w:rsid w:val="008C16F3"/>
    <w:rsid w:val="008C2463"/>
    <w:rsid w:val="008C2495"/>
    <w:rsid w:val="008C26D1"/>
    <w:rsid w:val="008C2C69"/>
    <w:rsid w:val="008C2D01"/>
    <w:rsid w:val="008C2D27"/>
    <w:rsid w:val="008C40E6"/>
    <w:rsid w:val="008C5055"/>
    <w:rsid w:val="008C54F8"/>
    <w:rsid w:val="008C55A6"/>
    <w:rsid w:val="008C5E4D"/>
    <w:rsid w:val="008C6978"/>
    <w:rsid w:val="008C7D9D"/>
    <w:rsid w:val="008D0CF3"/>
    <w:rsid w:val="008D0F7A"/>
    <w:rsid w:val="008D2641"/>
    <w:rsid w:val="008D2C43"/>
    <w:rsid w:val="008D2E53"/>
    <w:rsid w:val="008D3021"/>
    <w:rsid w:val="008D309C"/>
    <w:rsid w:val="008D35EC"/>
    <w:rsid w:val="008D373B"/>
    <w:rsid w:val="008D3F43"/>
    <w:rsid w:val="008D47F4"/>
    <w:rsid w:val="008D4CB7"/>
    <w:rsid w:val="008D5F0E"/>
    <w:rsid w:val="008D5FB3"/>
    <w:rsid w:val="008D68E4"/>
    <w:rsid w:val="008D6A56"/>
    <w:rsid w:val="008D74A7"/>
    <w:rsid w:val="008D79AF"/>
    <w:rsid w:val="008E0506"/>
    <w:rsid w:val="008E0CFF"/>
    <w:rsid w:val="008E122F"/>
    <w:rsid w:val="008E1703"/>
    <w:rsid w:val="008E1A9F"/>
    <w:rsid w:val="008E2267"/>
    <w:rsid w:val="008E23A2"/>
    <w:rsid w:val="008E2725"/>
    <w:rsid w:val="008E5462"/>
    <w:rsid w:val="008E5D5E"/>
    <w:rsid w:val="008E5D6B"/>
    <w:rsid w:val="008E6A1E"/>
    <w:rsid w:val="008E6A2D"/>
    <w:rsid w:val="008E7258"/>
    <w:rsid w:val="008E7356"/>
    <w:rsid w:val="008E74D8"/>
    <w:rsid w:val="008E76F0"/>
    <w:rsid w:val="008E78BA"/>
    <w:rsid w:val="008E7BCE"/>
    <w:rsid w:val="008E7CBF"/>
    <w:rsid w:val="008F064D"/>
    <w:rsid w:val="008F0C83"/>
    <w:rsid w:val="008F0D01"/>
    <w:rsid w:val="008F15FE"/>
    <w:rsid w:val="008F2068"/>
    <w:rsid w:val="008F2D29"/>
    <w:rsid w:val="008F2F01"/>
    <w:rsid w:val="008F3C90"/>
    <w:rsid w:val="008F476D"/>
    <w:rsid w:val="008F4DCB"/>
    <w:rsid w:val="008F5187"/>
    <w:rsid w:val="008F53A2"/>
    <w:rsid w:val="008F58DB"/>
    <w:rsid w:val="008F60D8"/>
    <w:rsid w:val="008F748D"/>
    <w:rsid w:val="008F781E"/>
    <w:rsid w:val="0090068F"/>
    <w:rsid w:val="0090171D"/>
    <w:rsid w:val="009021E8"/>
    <w:rsid w:val="00902439"/>
    <w:rsid w:val="00902727"/>
    <w:rsid w:val="00902A4D"/>
    <w:rsid w:val="0090312B"/>
    <w:rsid w:val="00903142"/>
    <w:rsid w:val="0090372E"/>
    <w:rsid w:val="00903933"/>
    <w:rsid w:val="009039D7"/>
    <w:rsid w:val="0090476A"/>
    <w:rsid w:val="0090574B"/>
    <w:rsid w:val="0090598E"/>
    <w:rsid w:val="00905B29"/>
    <w:rsid w:val="00906796"/>
    <w:rsid w:val="0091044E"/>
    <w:rsid w:val="00910687"/>
    <w:rsid w:val="00910B00"/>
    <w:rsid w:val="00910BFD"/>
    <w:rsid w:val="00910FE6"/>
    <w:rsid w:val="0091197F"/>
    <w:rsid w:val="00911F2F"/>
    <w:rsid w:val="00913700"/>
    <w:rsid w:val="00913F1C"/>
    <w:rsid w:val="00915C46"/>
    <w:rsid w:val="00915C5E"/>
    <w:rsid w:val="00916041"/>
    <w:rsid w:val="00916674"/>
    <w:rsid w:val="00916BAA"/>
    <w:rsid w:val="0091736D"/>
    <w:rsid w:val="0091779F"/>
    <w:rsid w:val="0091793F"/>
    <w:rsid w:val="009179FB"/>
    <w:rsid w:val="00917AB3"/>
    <w:rsid w:val="00920580"/>
    <w:rsid w:val="009210D0"/>
    <w:rsid w:val="00921CF1"/>
    <w:rsid w:val="0092276A"/>
    <w:rsid w:val="00922D56"/>
    <w:rsid w:val="00922EEB"/>
    <w:rsid w:val="00922F5E"/>
    <w:rsid w:val="0092386C"/>
    <w:rsid w:val="00924421"/>
    <w:rsid w:val="0092442B"/>
    <w:rsid w:val="00924BEE"/>
    <w:rsid w:val="009252B3"/>
    <w:rsid w:val="00925F71"/>
    <w:rsid w:val="009262C8"/>
    <w:rsid w:val="0092685D"/>
    <w:rsid w:val="00927897"/>
    <w:rsid w:val="009279D4"/>
    <w:rsid w:val="00930045"/>
    <w:rsid w:val="0093037A"/>
    <w:rsid w:val="009310D0"/>
    <w:rsid w:val="009324AC"/>
    <w:rsid w:val="009328A9"/>
    <w:rsid w:val="00933220"/>
    <w:rsid w:val="00933B35"/>
    <w:rsid w:val="00934526"/>
    <w:rsid w:val="0093456B"/>
    <w:rsid w:val="00934723"/>
    <w:rsid w:val="00935957"/>
    <w:rsid w:val="0093636B"/>
    <w:rsid w:val="00936946"/>
    <w:rsid w:val="00937181"/>
    <w:rsid w:val="00937285"/>
    <w:rsid w:val="00937674"/>
    <w:rsid w:val="00937878"/>
    <w:rsid w:val="00937927"/>
    <w:rsid w:val="00937B3C"/>
    <w:rsid w:val="00937E9D"/>
    <w:rsid w:val="00937FDC"/>
    <w:rsid w:val="009404D8"/>
    <w:rsid w:val="009413F8"/>
    <w:rsid w:val="0094154D"/>
    <w:rsid w:val="00941812"/>
    <w:rsid w:val="00941AFC"/>
    <w:rsid w:val="0094237A"/>
    <w:rsid w:val="00943251"/>
    <w:rsid w:val="00944CDC"/>
    <w:rsid w:val="00945206"/>
    <w:rsid w:val="009457A2"/>
    <w:rsid w:val="00945D3A"/>
    <w:rsid w:val="0094654B"/>
    <w:rsid w:val="009465DB"/>
    <w:rsid w:val="0094682C"/>
    <w:rsid w:val="00946CA3"/>
    <w:rsid w:val="0094731A"/>
    <w:rsid w:val="00950A71"/>
    <w:rsid w:val="00950B63"/>
    <w:rsid w:val="00950C18"/>
    <w:rsid w:val="009512E2"/>
    <w:rsid w:val="0095155F"/>
    <w:rsid w:val="009516D5"/>
    <w:rsid w:val="0095179A"/>
    <w:rsid w:val="00952B7D"/>
    <w:rsid w:val="00952CF2"/>
    <w:rsid w:val="00953A3D"/>
    <w:rsid w:val="00954429"/>
    <w:rsid w:val="009549F3"/>
    <w:rsid w:val="00955C08"/>
    <w:rsid w:val="00955C37"/>
    <w:rsid w:val="00955EF8"/>
    <w:rsid w:val="009563CE"/>
    <w:rsid w:val="009564E5"/>
    <w:rsid w:val="009565A8"/>
    <w:rsid w:val="00957905"/>
    <w:rsid w:val="00957BDA"/>
    <w:rsid w:val="00960733"/>
    <w:rsid w:val="00960E72"/>
    <w:rsid w:val="009610AF"/>
    <w:rsid w:val="00961475"/>
    <w:rsid w:val="00961B93"/>
    <w:rsid w:val="00962A47"/>
    <w:rsid w:val="00962DF8"/>
    <w:rsid w:val="009633FB"/>
    <w:rsid w:val="00964798"/>
    <w:rsid w:val="0096486A"/>
    <w:rsid w:val="0096525E"/>
    <w:rsid w:val="00966B5E"/>
    <w:rsid w:val="00970B38"/>
    <w:rsid w:val="00971406"/>
    <w:rsid w:val="0097160E"/>
    <w:rsid w:val="009717FE"/>
    <w:rsid w:val="00972363"/>
    <w:rsid w:val="009723E9"/>
    <w:rsid w:val="00972EA2"/>
    <w:rsid w:val="00973018"/>
    <w:rsid w:val="00973744"/>
    <w:rsid w:val="00973B01"/>
    <w:rsid w:val="00974577"/>
    <w:rsid w:val="00974E7D"/>
    <w:rsid w:val="00974F42"/>
    <w:rsid w:val="00975482"/>
    <w:rsid w:val="00976328"/>
    <w:rsid w:val="0097680D"/>
    <w:rsid w:val="009769AD"/>
    <w:rsid w:val="00976B75"/>
    <w:rsid w:val="009777E9"/>
    <w:rsid w:val="00977C4D"/>
    <w:rsid w:val="00980D74"/>
    <w:rsid w:val="009811A2"/>
    <w:rsid w:val="009812DE"/>
    <w:rsid w:val="00981AE1"/>
    <w:rsid w:val="00981BD9"/>
    <w:rsid w:val="00982438"/>
    <w:rsid w:val="00982685"/>
    <w:rsid w:val="009826D4"/>
    <w:rsid w:val="009830C8"/>
    <w:rsid w:val="0098376F"/>
    <w:rsid w:val="00983BC2"/>
    <w:rsid w:val="00983D75"/>
    <w:rsid w:val="0098404C"/>
    <w:rsid w:val="00985283"/>
    <w:rsid w:val="00985C90"/>
    <w:rsid w:val="0098746C"/>
    <w:rsid w:val="009874D0"/>
    <w:rsid w:val="00987E98"/>
    <w:rsid w:val="009909B4"/>
    <w:rsid w:val="00990B34"/>
    <w:rsid w:val="0099138B"/>
    <w:rsid w:val="00991A36"/>
    <w:rsid w:val="00993E9C"/>
    <w:rsid w:val="00994E59"/>
    <w:rsid w:val="0099556A"/>
    <w:rsid w:val="00995992"/>
    <w:rsid w:val="009960C3"/>
    <w:rsid w:val="00996352"/>
    <w:rsid w:val="0099640C"/>
    <w:rsid w:val="009968FC"/>
    <w:rsid w:val="00996FDB"/>
    <w:rsid w:val="0099731E"/>
    <w:rsid w:val="009A0289"/>
    <w:rsid w:val="009A03E5"/>
    <w:rsid w:val="009A06AF"/>
    <w:rsid w:val="009A0865"/>
    <w:rsid w:val="009A0D71"/>
    <w:rsid w:val="009A0F3B"/>
    <w:rsid w:val="009A13D3"/>
    <w:rsid w:val="009A13E0"/>
    <w:rsid w:val="009A1655"/>
    <w:rsid w:val="009A1833"/>
    <w:rsid w:val="009A1BB4"/>
    <w:rsid w:val="009A2628"/>
    <w:rsid w:val="009A2719"/>
    <w:rsid w:val="009A2F46"/>
    <w:rsid w:val="009A3200"/>
    <w:rsid w:val="009A3392"/>
    <w:rsid w:val="009A42D2"/>
    <w:rsid w:val="009A430D"/>
    <w:rsid w:val="009A437A"/>
    <w:rsid w:val="009A47DF"/>
    <w:rsid w:val="009A4967"/>
    <w:rsid w:val="009A4FE5"/>
    <w:rsid w:val="009A517C"/>
    <w:rsid w:val="009A5CB7"/>
    <w:rsid w:val="009A5DE3"/>
    <w:rsid w:val="009A5F50"/>
    <w:rsid w:val="009A6B0D"/>
    <w:rsid w:val="009A71AB"/>
    <w:rsid w:val="009A7298"/>
    <w:rsid w:val="009A7C18"/>
    <w:rsid w:val="009B004E"/>
    <w:rsid w:val="009B0897"/>
    <w:rsid w:val="009B0F72"/>
    <w:rsid w:val="009B12AE"/>
    <w:rsid w:val="009B14DA"/>
    <w:rsid w:val="009B1579"/>
    <w:rsid w:val="009B1A49"/>
    <w:rsid w:val="009B33E1"/>
    <w:rsid w:val="009B3999"/>
    <w:rsid w:val="009B3FF2"/>
    <w:rsid w:val="009B432A"/>
    <w:rsid w:val="009B4387"/>
    <w:rsid w:val="009B4CAE"/>
    <w:rsid w:val="009B4F19"/>
    <w:rsid w:val="009B5F7F"/>
    <w:rsid w:val="009B65C1"/>
    <w:rsid w:val="009B6888"/>
    <w:rsid w:val="009B6CC5"/>
    <w:rsid w:val="009B6D78"/>
    <w:rsid w:val="009B7910"/>
    <w:rsid w:val="009B7B60"/>
    <w:rsid w:val="009B7BD9"/>
    <w:rsid w:val="009B7F9D"/>
    <w:rsid w:val="009C0740"/>
    <w:rsid w:val="009C097F"/>
    <w:rsid w:val="009C16E0"/>
    <w:rsid w:val="009C32B9"/>
    <w:rsid w:val="009C33ED"/>
    <w:rsid w:val="009C3479"/>
    <w:rsid w:val="009C34D4"/>
    <w:rsid w:val="009C34D9"/>
    <w:rsid w:val="009C3E79"/>
    <w:rsid w:val="009C42A8"/>
    <w:rsid w:val="009C5305"/>
    <w:rsid w:val="009C56F5"/>
    <w:rsid w:val="009C5F52"/>
    <w:rsid w:val="009C6A26"/>
    <w:rsid w:val="009C7110"/>
    <w:rsid w:val="009C79BA"/>
    <w:rsid w:val="009C7C35"/>
    <w:rsid w:val="009C7DD5"/>
    <w:rsid w:val="009C7DF2"/>
    <w:rsid w:val="009C7E87"/>
    <w:rsid w:val="009D0423"/>
    <w:rsid w:val="009D0C5D"/>
    <w:rsid w:val="009D1F07"/>
    <w:rsid w:val="009D2BBA"/>
    <w:rsid w:val="009D2E40"/>
    <w:rsid w:val="009D36FC"/>
    <w:rsid w:val="009D3B95"/>
    <w:rsid w:val="009D4E43"/>
    <w:rsid w:val="009D4EAF"/>
    <w:rsid w:val="009D5208"/>
    <w:rsid w:val="009D579A"/>
    <w:rsid w:val="009D5841"/>
    <w:rsid w:val="009D5FF3"/>
    <w:rsid w:val="009D7254"/>
    <w:rsid w:val="009E02F5"/>
    <w:rsid w:val="009E0B17"/>
    <w:rsid w:val="009E0DBE"/>
    <w:rsid w:val="009E10F1"/>
    <w:rsid w:val="009E1529"/>
    <w:rsid w:val="009E16C8"/>
    <w:rsid w:val="009E227D"/>
    <w:rsid w:val="009E279B"/>
    <w:rsid w:val="009E2ADC"/>
    <w:rsid w:val="009E2E4C"/>
    <w:rsid w:val="009E3791"/>
    <w:rsid w:val="009E3841"/>
    <w:rsid w:val="009E49B6"/>
    <w:rsid w:val="009E4A13"/>
    <w:rsid w:val="009E5019"/>
    <w:rsid w:val="009E57B2"/>
    <w:rsid w:val="009E5906"/>
    <w:rsid w:val="009E5CDD"/>
    <w:rsid w:val="009E683A"/>
    <w:rsid w:val="009E6B09"/>
    <w:rsid w:val="009E6D06"/>
    <w:rsid w:val="009E7F02"/>
    <w:rsid w:val="009E7F6C"/>
    <w:rsid w:val="009F01EE"/>
    <w:rsid w:val="009F09B1"/>
    <w:rsid w:val="009F0AAB"/>
    <w:rsid w:val="009F15AA"/>
    <w:rsid w:val="009F3475"/>
    <w:rsid w:val="009F3DF7"/>
    <w:rsid w:val="009F41D4"/>
    <w:rsid w:val="009F42F3"/>
    <w:rsid w:val="009F46A9"/>
    <w:rsid w:val="009F4B2F"/>
    <w:rsid w:val="009F50FE"/>
    <w:rsid w:val="009F73DC"/>
    <w:rsid w:val="009F7D31"/>
    <w:rsid w:val="00A00223"/>
    <w:rsid w:val="00A008AE"/>
    <w:rsid w:val="00A00D5E"/>
    <w:rsid w:val="00A0106B"/>
    <w:rsid w:val="00A0236A"/>
    <w:rsid w:val="00A0248F"/>
    <w:rsid w:val="00A033F4"/>
    <w:rsid w:val="00A0399A"/>
    <w:rsid w:val="00A03F42"/>
    <w:rsid w:val="00A04448"/>
    <w:rsid w:val="00A04C1E"/>
    <w:rsid w:val="00A04F1B"/>
    <w:rsid w:val="00A0501B"/>
    <w:rsid w:val="00A056B1"/>
    <w:rsid w:val="00A070BA"/>
    <w:rsid w:val="00A076C6"/>
    <w:rsid w:val="00A07B08"/>
    <w:rsid w:val="00A07CCA"/>
    <w:rsid w:val="00A07E98"/>
    <w:rsid w:val="00A105C6"/>
    <w:rsid w:val="00A10C96"/>
    <w:rsid w:val="00A10D78"/>
    <w:rsid w:val="00A11446"/>
    <w:rsid w:val="00A11DB7"/>
    <w:rsid w:val="00A120A5"/>
    <w:rsid w:val="00A12795"/>
    <w:rsid w:val="00A13DF5"/>
    <w:rsid w:val="00A13F4B"/>
    <w:rsid w:val="00A1436E"/>
    <w:rsid w:val="00A1465C"/>
    <w:rsid w:val="00A14947"/>
    <w:rsid w:val="00A151E3"/>
    <w:rsid w:val="00A154E2"/>
    <w:rsid w:val="00A161FF"/>
    <w:rsid w:val="00A20D7C"/>
    <w:rsid w:val="00A20F2A"/>
    <w:rsid w:val="00A215F1"/>
    <w:rsid w:val="00A21727"/>
    <w:rsid w:val="00A218E7"/>
    <w:rsid w:val="00A21999"/>
    <w:rsid w:val="00A21FC3"/>
    <w:rsid w:val="00A22986"/>
    <w:rsid w:val="00A22A15"/>
    <w:rsid w:val="00A2325D"/>
    <w:rsid w:val="00A23B29"/>
    <w:rsid w:val="00A2465C"/>
    <w:rsid w:val="00A24A4B"/>
    <w:rsid w:val="00A25710"/>
    <w:rsid w:val="00A25AA1"/>
    <w:rsid w:val="00A25E47"/>
    <w:rsid w:val="00A2629A"/>
    <w:rsid w:val="00A26F01"/>
    <w:rsid w:val="00A302FD"/>
    <w:rsid w:val="00A30550"/>
    <w:rsid w:val="00A30946"/>
    <w:rsid w:val="00A30E6D"/>
    <w:rsid w:val="00A311AF"/>
    <w:rsid w:val="00A311F0"/>
    <w:rsid w:val="00A3126F"/>
    <w:rsid w:val="00A31467"/>
    <w:rsid w:val="00A31780"/>
    <w:rsid w:val="00A31861"/>
    <w:rsid w:val="00A32648"/>
    <w:rsid w:val="00A327A4"/>
    <w:rsid w:val="00A32A83"/>
    <w:rsid w:val="00A32F3C"/>
    <w:rsid w:val="00A339F2"/>
    <w:rsid w:val="00A33BF8"/>
    <w:rsid w:val="00A343DF"/>
    <w:rsid w:val="00A344B3"/>
    <w:rsid w:val="00A3483D"/>
    <w:rsid w:val="00A34A06"/>
    <w:rsid w:val="00A35578"/>
    <w:rsid w:val="00A35B33"/>
    <w:rsid w:val="00A35EF4"/>
    <w:rsid w:val="00A36478"/>
    <w:rsid w:val="00A368DB"/>
    <w:rsid w:val="00A3764A"/>
    <w:rsid w:val="00A37A79"/>
    <w:rsid w:val="00A37EA6"/>
    <w:rsid w:val="00A4086C"/>
    <w:rsid w:val="00A413D0"/>
    <w:rsid w:val="00A423AA"/>
    <w:rsid w:val="00A42CB6"/>
    <w:rsid w:val="00A42D86"/>
    <w:rsid w:val="00A42DBA"/>
    <w:rsid w:val="00A4337E"/>
    <w:rsid w:val="00A43908"/>
    <w:rsid w:val="00A446D8"/>
    <w:rsid w:val="00A44D59"/>
    <w:rsid w:val="00A459A8"/>
    <w:rsid w:val="00A45C57"/>
    <w:rsid w:val="00A46ED6"/>
    <w:rsid w:val="00A476A4"/>
    <w:rsid w:val="00A5130B"/>
    <w:rsid w:val="00A514BC"/>
    <w:rsid w:val="00A51BF3"/>
    <w:rsid w:val="00A531F3"/>
    <w:rsid w:val="00A53A2B"/>
    <w:rsid w:val="00A53EC6"/>
    <w:rsid w:val="00A54470"/>
    <w:rsid w:val="00A5481D"/>
    <w:rsid w:val="00A557C4"/>
    <w:rsid w:val="00A55C0F"/>
    <w:rsid w:val="00A56C62"/>
    <w:rsid w:val="00A576DD"/>
    <w:rsid w:val="00A57AEE"/>
    <w:rsid w:val="00A57B2C"/>
    <w:rsid w:val="00A607FF"/>
    <w:rsid w:val="00A6101A"/>
    <w:rsid w:val="00A61478"/>
    <w:rsid w:val="00A61708"/>
    <w:rsid w:val="00A6217C"/>
    <w:rsid w:val="00A6360F"/>
    <w:rsid w:val="00A63691"/>
    <w:rsid w:val="00A63F78"/>
    <w:rsid w:val="00A64580"/>
    <w:rsid w:val="00A6544C"/>
    <w:rsid w:val="00A663E2"/>
    <w:rsid w:val="00A666A3"/>
    <w:rsid w:val="00A669D1"/>
    <w:rsid w:val="00A66D66"/>
    <w:rsid w:val="00A66E2B"/>
    <w:rsid w:val="00A66E53"/>
    <w:rsid w:val="00A66E8A"/>
    <w:rsid w:val="00A70075"/>
    <w:rsid w:val="00A70C4E"/>
    <w:rsid w:val="00A71983"/>
    <w:rsid w:val="00A7199D"/>
    <w:rsid w:val="00A71A24"/>
    <w:rsid w:val="00A73177"/>
    <w:rsid w:val="00A73231"/>
    <w:rsid w:val="00A73600"/>
    <w:rsid w:val="00A73B2B"/>
    <w:rsid w:val="00A73D30"/>
    <w:rsid w:val="00A74052"/>
    <w:rsid w:val="00A751DF"/>
    <w:rsid w:val="00A7523F"/>
    <w:rsid w:val="00A75751"/>
    <w:rsid w:val="00A76C5D"/>
    <w:rsid w:val="00A770F0"/>
    <w:rsid w:val="00A811C6"/>
    <w:rsid w:val="00A81287"/>
    <w:rsid w:val="00A81C69"/>
    <w:rsid w:val="00A8434F"/>
    <w:rsid w:val="00A84484"/>
    <w:rsid w:val="00A84E14"/>
    <w:rsid w:val="00A85315"/>
    <w:rsid w:val="00A857EC"/>
    <w:rsid w:val="00A85B03"/>
    <w:rsid w:val="00A86376"/>
    <w:rsid w:val="00A86421"/>
    <w:rsid w:val="00A87138"/>
    <w:rsid w:val="00A8713F"/>
    <w:rsid w:val="00A87527"/>
    <w:rsid w:val="00A9050D"/>
    <w:rsid w:val="00A90BA1"/>
    <w:rsid w:val="00A9122D"/>
    <w:rsid w:val="00A913E3"/>
    <w:rsid w:val="00A91AD0"/>
    <w:rsid w:val="00A92CE8"/>
    <w:rsid w:val="00A92DAB"/>
    <w:rsid w:val="00A92E61"/>
    <w:rsid w:val="00A92FA9"/>
    <w:rsid w:val="00A930EE"/>
    <w:rsid w:val="00A931F4"/>
    <w:rsid w:val="00A93BD4"/>
    <w:rsid w:val="00A93D71"/>
    <w:rsid w:val="00A94791"/>
    <w:rsid w:val="00A94888"/>
    <w:rsid w:val="00A94CC5"/>
    <w:rsid w:val="00A9612C"/>
    <w:rsid w:val="00A96322"/>
    <w:rsid w:val="00A96556"/>
    <w:rsid w:val="00A978FB"/>
    <w:rsid w:val="00A97A9A"/>
    <w:rsid w:val="00AA0046"/>
    <w:rsid w:val="00AA0671"/>
    <w:rsid w:val="00AA19EB"/>
    <w:rsid w:val="00AA2531"/>
    <w:rsid w:val="00AA3049"/>
    <w:rsid w:val="00AA3347"/>
    <w:rsid w:val="00AA3B34"/>
    <w:rsid w:val="00AA43D1"/>
    <w:rsid w:val="00AA44DA"/>
    <w:rsid w:val="00AA5196"/>
    <w:rsid w:val="00AA6A6E"/>
    <w:rsid w:val="00AA7953"/>
    <w:rsid w:val="00AB02C3"/>
    <w:rsid w:val="00AB02DD"/>
    <w:rsid w:val="00AB0383"/>
    <w:rsid w:val="00AB0B0D"/>
    <w:rsid w:val="00AB0B8F"/>
    <w:rsid w:val="00AB0BE2"/>
    <w:rsid w:val="00AB0E9D"/>
    <w:rsid w:val="00AB0F21"/>
    <w:rsid w:val="00AB1D95"/>
    <w:rsid w:val="00AB1E09"/>
    <w:rsid w:val="00AB1FB4"/>
    <w:rsid w:val="00AB2F71"/>
    <w:rsid w:val="00AB30EF"/>
    <w:rsid w:val="00AB30FD"/>
    <w:rsid w:val="00AB31A0"/>
    <w:rsid w:val="00AB326D"/>
    <w:rsid w:val="00AB42B2"/>
    <w:rsid w:val="00AB4E26"/>
    <w:rsid w:val="00AB51B2"/>
    <w:rsid w:val="00AB5330"/>
    <w:rsid w:val="00AB5B51"/>
    <w:rsid w:val="00AB610D"/>
    <w:rsid w:val="00AB613C"/>
    <w:rsid w:val="00AB7415"/>
    <w:rsid w:val="00AB7747"/>
    <w:rsid w:val="00AB7A35"/>
    <w:rsid w:val="00AB7FB7"/>
    <w:rsid w:val="00AC04C4"/>
    <w:rsid w:val="00AC0D0D"/>
    <w:rsid w:val="00AC1464"/>
    <w:rsid w:val="00AC14CE"/>
    <w:rsid w:val="00AC1E10"/>
    <w:rsid w:val="00AC2A56"/>
    <w:rsid w:val="00AC2F9E"/>
    <w:rsid w:val="00AC3264"/>
    <w:rsid w:val="00AC3644"/>
    <w:rsid w:val="00AC3821"/>
    <w:rsid w:val="00AC3AB7"/>
    <w:rsid w:val="00AC3B65"/>
    <w:rsid w:val="00AC40E0"/>
    <w:rsid w:val="00AC4805"/>
    <w:rsid w:val="00AC48AC"/>
    <w:rsid w:val="00AC48DC"/>
    <w:rsid w:val="00AC4B9E"/>
    <w:rsid w:val="00AC5229"/>
    <w:rsid w:val="00AC5446"/>
    <w:rsid w:val="00AC54BF"/>
    <w:rsid w:val="00AC5575"/>
    <w:rsid w:val="00AC5E45"/>
    <w:rsid w:val="00AC7637"/>
    <w:rsid w:val="00AC7789"/>
    <w:rsid w:val="00AD055E"/>
    <w:rsid w:val="00AD08FF"/>
    <w:rsid w:val="00AD2672"/>
    <w:rsid w:val="00AD27CC"/>
    <w:rsid w:val="00AD3361"/>
    <w:rsid w:val="00AD3381"/>
    <w:rsid w:val="00AD4418"/>
    <w:rsid w:val="00AD47A7"/>
    <w:rsid w:val="00AD4944"/>
    <w:rsid w:val="00AD55A6"/>
    <w:rsid w:val="00AD55E6"/>
    <w:rsid w:val="00AD585C"/>
    <w:rsid w:val="00AD5A44"/>
    <w:rsid w:val="00AD5E06"/>
    <w:rsid w:val="00AD5F0A"/>
    <w:rsid w:val="00AD70E6"/>
    <w:rsid w:val="00AD7320"/>
    <w:rsid w:val="00AD7793"/>
    <w:rsid w:val="00AE0C62"/>
    <w:rsid w:val="00AE2564"/>
    <w:rsid w:val="00AE27A4"/>
    <w:rsid w:val="00AE2B10"/>
    <w:rsid w:val="00AE3A89"/>
    <w:rsid w:val="00AE3E62"/>
    <w:rsid w:val="00AE4261"/>
    <w:rsid w:val="00AE43C9"/>
    <w:rsid w:val="00AE4C36"/>
    <w:rsid w:val="00AE5512"/>
    <w:rsid w:val="00AE562D"/>
    <w:rsid w:val="00AE5956"/>
    <w:rsid w:val="00AE6C05"/>
    <w:rsid w:val="00AE7E8F"/>
    <w:rsid w:val="00AF029A"/>
    <w:rsid w:val="00AF0886"/>
    <w:rsid w:val="00AF0CBF"/>
    <w:rsid w:val="00AF1BBD"/>
    <w:rsid w:val="00AF1CE5"/>
    <w:rsid w:val="00AF21E5"/>
    <w:rsid w:val="00AF2473"/>
    <w:rsid w:val="00AF248E"/>
    <w:rsid w:val="00AF257F"/>
    <w:rsid w:val="00AF2A3A"/>
    <w:rsid w:val="00AF33CF"/>
    <w:rsid w:val="00AF36A5"/>
    <w:rsid w:val="00AF3CC6"/>
    <w:rsid w:val="00AF3CE3"/>
    <w:rsid w:val="00AF3D78"/>
    <w:rsid w:val="00AF4D50"/>
    <w:rsid w:val="00AF5914"/>
    <w:rsid w:val="00AF6179"/>
    <w:rsid w:val="00AF68FB"/>
    <w:rsid w:val="00AF7146"/>
    <w:rsid w:val="00AF7D98"/>
    <w:rsid w:val="00AF7FD2"/>
    <w:rsid w:val="00B0069A"/>
    <w:rsid w:val="00B00B64"/>
    <w:rsid w:val="00B01616"/>
    <w:rsid w:val="00B019BE"/>
    <w:rsid w:val="00B01B44"/>
    <w:rsid w:val="00B01D10"/>
    <w:rsid w:val="00B03340"/>
    <w:rsid w:val="00B03774"/>
    <w:rsid w:val="00B03BD6"/>
    <w:rsid w:val="00B03F19"/>
    <w:rsid w:val="00B0407F"/>
    <w:rsid w:val="00B04224"/>
    <w:rsid w:val="00B04632"/>
    <w:rsid w:val="00B04C45"/>
    <w:rsid w:val="00B05D35"/>
    <w:rsid w:val="00B06B52"/>
    <w:rsid w:val="00B06C39"/>
    <w:rsid w:val="00B10749"/>
    <w:rsid w:val="00B10A52"/>
    <w:rsid w:val="00B111CA"/>
    <w:rsid w:val="00B114BA"/>
    <w:rsid w:val="00B11EE0"/>
    <w:rsid w:val="00B12471"/>
    <w:rsid w:val="00B126FB"/>
    <w:rsid w:val="00B1295A"/>
    <w:rsid w:val="00B12E90"/>
    <w:rsid w:val="00B132CF"/>
    <w:rsid w:val="00B13FB9"/>
    <w:rsid w:val="00B14D67"/>
    <w:rsid w:val="00B1525F"/>
    <w:rsid w:val="00B15526"/>
    <w:rsid w:val="00B16177"/>
    <w:rsid w:val="00B16A54"/>
    <w:rsid w:val="00B171C6"/>
    <w:rsid w:val="00B174C1"/>
    <w:rsid w:val="00B2063E"/>
    <w:rsid w:val="00B20A45"/>
    <w:rsid w:val="00B20FFF"/>
    <w:rsid w:val="00B213C5"/>
    <w:rsid w:val="00B22337"/>
    <w:rsid w:val="00B226F2"/>
    <w:rsid w:val="00B22C5C"/>
    <w:rsid w:val="00B22D06"/>
    <w:rsid w:val="00B23328"/>
    <w:rsid w:val="00B237E7"/>
    <w:rsid w:val="00B238A0"/>
    <w:rsid w:val="00B23C0D"/>
    <w:rsid w:val="00B24172"/>
    <w:rsid w:val="00B24573"/>
    <w:rsid w:val="00B24689"/>
    <w:rsid w:val="00B24EAC"/>
    <w:rsid w:val="00B24F30"/>
    <w:rsid w:val="00B25466"/>
    <w:rsid w:val="00B25C91"/>
    <w:rsid w:val="00B260C7"/>
    <w:rsid w:val="00B267D6"/>
    <w:rsid w:val="00B272B3"/>
    <w:rsid w:val="00B2791D"/>
    <w:rsid w:val="00B319BA"/>
    <w:rsid w:val="00B31ABF"/>
    <w:rsid w:val="00B31E6B"/>
    <w:rsid w:val="00B3282D"/>
    <w:rsid w:val="00B3306C"/>
    <w:rsid w:val="00B33940"/>
    <w:rsid w:val="00B33BE3"/>
    <w:rsid w:val="00B3499D"/>
    <w:rsid w:val="00B34ADB"/>
    <w:rsid w:val="00B34CF6"/>
    <w:rsid w:val="00B34E2B"/>
    <w:rsid w:val="00B35DCF"/>
    <w:rsid w:val="00B363D6"/>
    <w:rsid w:val="00B36B78"/>
    <w:rsid w:val="00B37D7C"/>
    <w:rsid w:val="00B408CE"/>
    <w:rsid w:val="00B41020"/>
    <w:rsid w:val="00B41DEA"/>
    <w:rsid w:val="00B42400"/>
    <w:rsid w:val="00B42A21"/>
    <w:rsid w:val="00B434DC"/>
    <w:rsid w:val="00B44015"/>
    <w:rsid w:val="00B4525D"/>
    <w:rsid w:val="00B45291"/>
    <w:rsid w:val="00B45511"/>
    <w:rsid w:val="00B45E5A"/>
    <w:rsid w:val="00B462A6"/>
    <w:rsid w:val="00B46A44"/>
    <w:rsid w:val="00B51B4A"/>
    <w:rsid w:val="00B51E80"/>
    <w:rsid w:val="00B52005"/>
    <w:rsid w:val="00B5204C"/>
    <w:rsid w:val="00B520FC"/>
    <w:rsid w:val="00B52F1E"/>
    <w:rsid w:val="00B53B5D"/>
    <w:rsid w:val="00B544D0"/>
    <w:rsid w:val="00B54A28"/>
    <w:rsid w:val="00B54E1F"/>
    <w:rsid w:val="00B55267"/>
    <w:rsid w:val="00B55F4B"/>
    <w:rsid w:val="00B56296"/>
    <w:rsid w:val="00B56ADC"/>
    <w:rsid w:val="00B601A4"/>
    <w:rsid w:val="00B6055E"/>
    <w:rsid w:val="00B609E8"/>
    <w:rsid w:val="00B61222"/>
    <w:rsid w:val="00B617D1"/>
    <w:rsid w:val="00B61E90"/>
    <w:rsid w:val="00B62664"/>
    <w:rsid w:val="00B6296F"/>
    <w:rsid w:val="00B62BAE"/>
    <w:rsid w:val="00B62BF2"/>
    <w:rsid w:val="00B62E47"/>
    <w:rsid w:val="00B6307F"/>
    <w:rsid w:val="00B6317D"/>
    <w:rsid w:val="00B63DCD"/>
    <w:rsid w:val="00B65E2F"/>
    <w:rsid w:val="00B65E3D"/>
    <w:rsid w:val="00B66103"/>
    <w:rsid w:val="00B66305"/>
    <w:rsid w:val="00B66595"/>
    <w:rsid w:val="00B66B46"/>
    <w:rsid w:val="00B673B9"/>
    <w:rsid w:val="00B67CDB"/>
    <w:rsid w:val="00B67D5B"/>
    <w:rsid w:val="00B67F1B"/>
    <w:rsid w:val="00B7016D"/>
    <w:rsid w:val="00B70304"/>
    <w:rsid w:val="00B70752"/>
    <w:rsid w:val="00B7135D"/>
    <w:rsid w:val="00B7166B"/>
    <w:rsid w:val="00B71B49"/>
    <w:rsid w:val="00B71FC1"/>
    <w:rsid w:val="00B7272D"/>
    <w:rsid w:val="00B72D50"/>
    <w:rsid w:val="00B72E37"/>
    <w:rsid w:val="00B72E50"/>
    <w:rsid w:val="00B7380A"/>
    <w:rsid w:val="00B74826"/>
    <w:rsid w:val="00B748A6"/>
    <w:rsid w:val="00B749D4"/>
    <w:rsid w:val="00B74C14"/>
    <w:rsid w:val="00B754A9"/>
    <w:rsid w:val="00B75813"/>
    <w:rsid w:val="00B75C67"/>
    <w:rsid w:val="00B75EFE"/>
    <w:rsid w:val="00B7618F"/>
    <w:rsid w:val="00B7632C"/>
    <w:rsid w:val="00B7659E"/>
    <w:rsid w:val="00B77178"/>
    <w:rsid w:val="00B7723F"/>
    <w:rsid w:val="00B773E2"/>
    <w:rsid w:val="00B77EC4"/>
    <w:rsid w:val="00B80534"/>
    <w:rsid w:val="00B806A8"/>
    <w:rsid w:val="00B80AE9"/>
    <w:rsid w:val="00B817FE"/>
    <w:rsid w:val="00B81FE5"/>
    <w:rsid w:val="00B840A5"/>
    <w:rsid w:val="00B8433C"/>
    <w:rsid w:val="00B84F11"/>
    <w:rsid w:val="00B84F60"/>
    <w:rsid w:val="00B85233"/>
    <w:rsid w:val="00B85F1F"/>
    <w:rsid w:val="00B8747B"/>
    <w:rsid w:val="00B87491"/>
    <w:rsid w:val="00B874E5"/>
    <w:rsid w:val="00B90A11"/>
    <w:rsid w:val="00B90AEA"/>
    <w:rsid w:val="00B90B93"/>
    <w:rsid w:val="00B90E76"/>
    <w:rsid w:val="00B90F2C"/>
    <w:rsid w:val="00B91D93"/>
    <w:rsid w:val="00B92CE8"/>
    <w:rsid w:val="00B92D6D"/>
    <w:rsid w:val="00B93270"/>
    <w:rsid w:val="00B93AA4"/>
    <w:rsid w:val="00B93B1F"/>
    <w:rsid w:val="00B948CB"/>
    <w:rsid w:val="00B94D8A"/>
    <w:rsid w:val="00B953AC"/>
    <w:rsid w:val="00B954CB"/>
    <w:rsid w:val="00B957A8"/>
    <w:rsid w:val="00B95E64"/>
    <w:rsid w:val="00B963E1"/>
    <w:rsid w:val="00B979D9"/>
    <w:rsid w:val="00B97EA4"/>
    <w:rsid w:val="00BA0EF7"/>
    <w:rsid w:val="00BA1091"/>
    <w:rsid w:val="00BA11B9"/>
    <w:rsid w:val="00BA18A2"/>
    <w:rsid w:val="00BA2922"/>
    <w:rsid w:val="00BA29E9"/>
    <w:rsid w:val="00BA3131"/>
    <w:rsid w:val="00BA33D9"/>
    <w:rsid w:val="00BA3A04"/>
    <w:rsid w:val="00BA4EF1"/>
    <w:rsid w:val="00BA5309"/>
    <w:rsid w:val="00BA5727"/>
    <w:rsid w:val="00BA59C9"/>
    <w:rsid w:val="00BA5C4F"/>
    <w:rsid w:val="00BA5CA2"/>
    <w:rsid w:val="00BA5E2E"/>
    <w:rsid w:val="00BA69B7"/>
    <w:rsid w:val="00BA6DFF"/>
    <w:rsid w:val="00BA6E4E"/>
    <w:rsid w:val="00BA703E"/>
    <w:rsid w:val="00BA7142"/>
    <w:rsid w:val="00BA7274"/>
    <w:rsid w:val="00BB05AE"/>
    <w:rsid w:val="00BB1395"/>
    <w:rsid w:val="00BB1722"/>
    <w:rsid w:val="00BB1F50"/>
    <w:rsid w:val="00BB1FE9"/>
    <w:rsid w:val="00BB212F"/>
    <w:rsid w:val="00BB237C"/>
    <w:rsid w:val="00BB2461"/>
    <w:rsid w:val="00BB264E"/>
    <w:rsid w:val="00BB3222"/>
    <w:rsid w:val="00BB41A3"/>
    <w:rsid w:val="00BB4BCA"/>
    <w:rsid w:val="00BB54E6"/>
    <w:rsid w:val="00BB5813"/>
    <w:rsid w:val="00BB5D6B"/>
    <w:rsid w:val="00BB5DAE"/>
    <w:rsid w:val="00BB66A8"/>
    <w:rsid w:val="00BB68D2"/>
    <w:rsid w:val="00BB69C4"/>
    <w:rsid w:val="00BB7053"/>
    <w:rsid w:val="00BB740F"/>
    <w:rsid w:val="00BB749D"/>
    <w:rsid w:val="00BC02B3"/>
    <w:rsid w:val="00BC0394"/>
    <w:rsid w:val="00BC06AA"/>
    <w:rsid w:val="00BC06AF"/>
    <w:rsid w:val="00BC088E"/>
    <w:rsid w:val="00BC0D6E"/>
    <w:rsid w:val="00BC0E8B"/>
    <w:rsid w:val="00BC1902"/>
    <w:rsid w:val="00BC274F"/>
    <w:rsid w:val="00BC2C85"/>
    <w:rsid w:val="00BC30F3"/>
    <w:rsid w:val="00BC324C"/>
    <w:rsid w:val="00BC32DC"/>
    <w:rsid w:val="00BC35B6"/>
    <w:rsid w:val="00BC3E0C"/>
    <w:rsid w:val="00BC5312"/>
    <w:rsid w:val="00BC544E"/>
    <w:rsid w:val="00BC5492"/>
    <w:rsid w:val="00BC613B"/>
    <w:rsid w:val="00BC6755"/>
    <w:rsid w:val="00BC7178"/>
    <w:rsid w:val="00BC7983"/>
    <w:rsid w:val="00BD05F9"/>
    <w:rsid w:val="00BD07D0"/>
    <w:rsid w:val="00BD0EFE"/>
    <w:rsid w:val="00BD10B4"/>
    <w:rsid w:val="00BD1B51"/>
    <w:rsid w:val="00BD1B7C"/>
    <w:rsid w:val="00BD1CC5"/>
    <w:rsid w:val="00BD203C"/>
    <w:rsid w:val="00BD2967"/>
    <w:rsid w:val="00BD2BEF"/>
    <w:rsid w:val="00BD3654"/>
    <w:rsid w:val="00BD435B"/>
    <w:rsid w:val="00BD4596"/>
    <w:rsid w:val="00BD480D"/>
    <w:rsid w:val="00BD4C72"/>
    <w:rsid w:val="00BD5A88"/>
    <w:rsid w:val="00BD5CDD"/>
    <w:rsid w:val="00BD605C"/>
    <w:rsid w:val="00BD6593"/>
    <w:rsid w:val="00BD6DF1"/>
    <w:rsid w:val="00BD7137"/>
    <w:rsid w:val="00BD72AB"/>
    <w:rsid w:val="00BD72E2"/>
    <w:rsid w:val="00BD76E4"/>
    <w:rsid w:val="00BD7F0C"/>
    <w:rsid w:val="00BE01EB"/>
    <w:rsid w:val="00BE032A"/>
    <w:rsid w:val="00BE045C"/>
    <w:rsid w:val="00BE0D8E"/>
    <w:rsid w:val="00BE1095"/>
    <w:rsid w:val="00BE10AB"/>
    <w:rsid w:val="00BE1405"/>
    <w:rsid w:val="00BE1DB7"/>
    <w:rsid w:val="00BE1FBA"/>
    <w:rsid w:val="00BE312D"/>
    <w:rsid w:val="00BE328F"/>
    <w:rsid w:val="00BE366F"/>
    <w:rsid w:val="00BE37CE"/>
    <w:rsid w:val="00BE3BD5"/>
    <w:rsid w:val="00BE4547"/>
    <w:rsid w:val="00BE49BB"/>
    <w:rsid w:val="00BE4E63"/>
    <w:rsid w:val="00BE4E92"/>
    <w:rsid w:val="00BE52CD"/>
    <w:rsid w:val="00BE5389"/>
    <w:rsid w:val="00BE5407"/>
    <w:rsid w:val="00BE57BD"/>
    <w:rsid w:val="00BE587D"/>
    <w:rsid w:val="00BE6199"/>
    <w:rsid w:val="00BE655A"/>
    <w:rsid w:val="00BE6E07"/>
    <w:rsid w:val="00BE6ED7"/>
    <w:rsid w:val="00BE74BA"/>
    <w:rsid w:val="00BE7688"/>
    <w:rsid w:val="00BE77AE"/>
    <w:rsid w:val="00BE7E78"/>
    <w:rsid w:val="00BF1C20"/>
    <w:rsid w:val="00BF31A1"/>
    <w:rsid w:val="00BF3236"/>
    <w:rsid w:val="00BF34F0"/>
    <w:rsid w:val="00BF3C48"/>
    <w:rsid w:val="00BF3E53"/>
    <w:rsid w:val="00BF3FBE"/>
    <w:rsid w:val="00BF4E04"/>
    <w:rsid w:val="00BF505E"/>
    <w:rsid w:val="00BF5C07"/>
    <w:rsid w:val="00BF5F95"/>
    <w:rsid w:val="00BF66E6"/>
    <w:rsid w:val="00BF6983"/>
    <w:rsid w:val="00BF6CC5"/>
    <w:rsid w:val="00BF6EB6"/>
    <w:rsid w:val="00BF7CFB"/>
    <w:rsid w:val="00C003AC"/>
    <w:rsid w:val="00C00D52"/>
    <w:rsid w:val="00C00FA6"/>
    <w:rsid w:val="00C01AAA"/>
    <w:rsid w:val="00C02328"/>
    <w:rsid w:val="00C0319E"/>
    <w:rsid w:val="00C03F1F"/>
    <w:rsid w:val="00C043BA"/>
    <w:rsid w:val="00C048D2"/>
    <w:rsid w:val="00C05997"/>
    <w:rsid w:val="00C060B9"/>
    <w:rsid w:val="00C069B4"/>
    <w:rsid w:val="00C06BF2"/>
    <w:rsid w:val="00C07ACE"/>
    <w:rsid w:val="00C07C02"/>
    <w:rsid w:val="00C10578"/>
    <w:rsid w:val="00C11254"/>
    <w:rsid w:val="00C1347A"/>
    <w:rsid w:val="00C135BC"/>
    <w:rsid w:val="00C13DF2"/>
    <w:rsid w:val="00C14519"/>
    <w:rsid w:val="00C145F5"/>
    <w:rsid w:val="00C1461A"/>
    <w:rsid w:val="00C148D8"/>
    <w:rsid w:val="00C14DED"/>
    <w:rsid w:val="00C14E85"/>
    <w:rsid w:val="00C15AEC"/>
    <w:rsid w:val="00C15C95"/>
    <w:rsid w:val="00C170D4"/>
    <w:rsid w:val="00C1768A"/>
    <w:rsid w:val="00C20A95"/>
    <w:rsid w:val="00C21D89"/>
    <w:rsid w:val="00C240DF"/>
    <w:rsid w:val="00C24738"/>
    <w:rsid w:val="00C2514D"/>
    <w:rsid w:val="00C2596A"/>
    <w:rsid w:val="00C25BF1"/>
    <w:rsid w:val="00C264B5"/>
    <w:rsid w:val="00C27537"/>
    <w:rsid w:val="00C30180"/>
    <w:rsid w:val="00C31069"/>
    <w:rsid w:val="00C31322"/>
    <w:rsid w:val="00C31B06"/>
    <w:rsid w:val="00C31D1F"/>
    <w:rsid w:val="00C32504"/>
    <w:rsid w:val="00C328FE"/>
    <w:rsid w:val="00C32AAE"/>
    <w:rsid w:val="00C32C0A"/>
    <w:rsid w:val="00C33507"/>
    <w:rsid w:val="00C340C4"/>
    <w:rsid w:val="00C341FA"/>
    <w:rsid w:val="00C3587E"/>
    <w:rsid w:val="00C35E24"/>
    <w:rsid w:val="00C36336"/>
    <w:rsid w:val="00C377E8"/>
    <w:rsid w:val="00C40538"/>
    <w:rsid w:val="00C422DA"/>
    <w:rsid w:val="00C4368D"/>
    <w:rsid w:val="00C4409D"/>
    <w:rsid w:val="00C44E72"/>
    <w:rsid w:val="00C45933"/>
    <w:rsid w:val="00C45A06"/>
    <w:rsid w:val="00C45CCE"/>
    <w:rsid w:val="00C46393"/>
    <w:rsid w:val="00C46571"/>
    <w:rsid w:val="00C467DB"/>
    <w:rsid w:val="00C471D4"/>
    <w:rsid w:val="00C47796"/>
    <w:rsid w:val="00C47E5B"/>
    <w:rsid w:val="00C47F6A"/>
    <w:rsid w:val="00C50550"/>
    <w:rsid w:val="00C50D0A"/>
    <w:rsid w:val="00C5176E"/>
    <w:rsid w:val="00C52A35"/>
    <w:rsid w:val="00C52C02"/>
    <w:rsid w:val="00C52F64"/>
    <w:rsid w:val="00C53037"/>
    <w:rsid w:val="00C5346A"/>
    <w:rsid w:val="00C536A0"/>
    <w:rsid w:val="00C565C1"/>
    <w:rsid w:val="00C574BA"/>
    <w:rsid w:val="00C601C8"/>
    <w:rsid w:val="00C60AAC"/>
    <w:rsid w:val="00C60EBF"/>
    <w:rsid w:val="00C6123F"/>
    <w:rsid w:val="00C61C5D"/>
    <w:rsid w:val="00C61C71"/>
    <w:rsid w:val="00C61E4B"/>
    <w:rsid w:val="00C61E7F"/>
    <w:rsid w:val="00C61EB0"/>
    <w:rsid w:val="00C63520"/>
    <w:rsid w:val="00C6379B"/>
    <w:rsid w:val="00C63A17"/>
    <w:rsid w:val="00C63A1C"/>
    <w:rsid w:val="00C644A2"/>
    <w:rsid w:val="00C64BFF"/>
    <w:rsid w:val="00C65098"/>
    <w:rsid w:val="00C65616"/>
    <w:rsid w:val="00C65BFC"/>
    <w:rsid w:val="00C66059"/>
    <w:rsid w:val="00C67F4B"/>
    <w:rsid w:val="00C704E9"/>
    <w:rsid w:val="00C70A87"/>
    <w:rsid w:val="00C71F7A"/>
    <w:rsid w:val="00C71FD9"/>
    <w:rsid w:val="00C721F7"/>
    <w:rsid w:val="00C7326E"/>
    <w:rsid w:val="00C73969"/>
    <w:rsid w:val="00C73992"/>
    <w:rsid w:val="00C74AFC"/>
    <w:rsid w:val="00C75DC4"/>
    <w:rsid w:val="00C763C9"/>
    <w:rsid w:val="00C77615"/>
    <w:rsid w:val="00C77B6D"/>
    <w:rsid w:val="00C80057"/>
    <w:rsid w:val="00C80A05"/>
    <w:rsid w:val="00C80AF6"/>
    <w:rsid w:val="00C80B84"/>
    <w:rsid w:val="00C810F0"/>
    <w:rsid w:val="00C82232"/>
    <w:rsid w:val="00C82575"/>
    <w:rsid w:val="00C82913"/>
    <w:rsid w:val="00C83368"/>
    <w:rsid w:val="00C83DEB"/>
    <w:rsid w:val="00C840C9"/>
    <w:rsid w:val="00C8415E"/>
    <w:rsid w:val="00C84BB9"/>
    <w:rsid w:val="00C8530D"/>
    <w:rsid w:val="00C85F1B"/>
    <w:rsid w:val="00C86100"/>
    <w:rsid w:val="00C866CD"/>
    <w:rsid w:val="00C879F2"/>
    <w:rsid w:val="00C90168"/>
    <w:rsid w:val="00C906B8"/>
    <w:rsid w:val="00C90F2B"/>
    <w:rsid w:val="00C9126B"/>
    <w:rsid w:val="00C9215C"/>
    <w:rsid w:val="00C92208"/>
    <w:rsid w:val="00C92E02"/>
    <w:rsid w:val="00C932A4"/>
    <w:rsid w:val="00C933AF"/>
    <w:rsid w:val="00C93FB5"/>
    <w:rsid w:val="00C94158"/>
    <w:rsid w:val="00C941FD"/>
    <w:rsid w:val="00C9503D"/>
    <w:rsid w:val="00C9587F"/>
    <w:rsid w:val="00C96C66"/>
    <w:rsid w:val="00C96D0A"/>
    <w:rsid w:val="00C971E9"/>
    <w:rsid w:val="00C972B1"/>
    <w:rsid w:val="00C9741A"/>
    <w:rsid w:val="00CA00A6"/>
    <w:rsid w:val="00CA0893"/>
    <w:rsid w:val="00CA15B3"/>
    <w:rsid w:val="00CA1CAE"/>
    <w:rsid w:val="00CA28F9"/>
    <w:rsid w:val="00CA2CCE"/>
    <w:rsid w:val="00CA3236"/>
    <w:rsid w:val="00CA326D"/>
    <w:rsid w:val="00CA3D85"/>
    <w:rsid w:val="00CA415F"/>
    <w:rsid w:val="00CA43BE"/>
    <w:rsid w:val="00CA43FD"/>
    <w:rsid w:val="00CA48A0"/>
    <w:rsid w:val="00CA4AA8"/>
    <w:rsid w:val="00CA5BD9"/>
    <w:rsid w:val="00CA6EFF"/>
    <w:rsid w:val="00CA703D"/>
    <w:rsid w:val="00CA7D29"/>
    <w:rsid w:val="00CA7D98"/>
    <w:rsid w:val="00CA7EF8"/>
    <w:rsid w:val="00CB033A"/>
    <w:rsid w:val="00CB088F"/>
    <w:rsid w:val="00CB208C"/>
    <w:rsid w:val="00CB2162"/>
    <w:rsid w:val="00CB24C2"/>
    <w:rsid w:val="00CB354E"/>
    <w:rsid w:val="00CB436F"/>
    <w:rsid w:val="00CB4376"/>
    <w:rsid w:val="00CB569C"/>
    <w:rsid w:val="00CB5A4A"/>
    <w:rsid w:val="00CB69C6"/>
    <w:rsid w:val="00CB7380"/>
    <w:rsid w:val="00CB7B71"/>
    <w:rsid w:val="00CB7FE5"/>
    <w:rsid w:val="00CC03D6"/>
    <w:rsid w:val="00CC0E93"/>
    <w:rsid w:val="00CC0FFF"/>
    <w:rsid w:val="00CC1A60"/>
    <w:rsid w:val="00CC1CCB"/>
    <w:rsid w:val="00CC3488"/>
    <w:rsid w:val="00CC3DE0"/>
    <w:rsid w:val="00CC419E"/>
    <w:rsid w:val="00CC489B"/>
    <w:rsid w:val="00CC4FF2"/>
    <w:rsid w:val="00CC5A6B"/>
    <w:rsid w:val="00CC6D3E"/>
    <w:rsid w:val="00CC710F"/>
    <w:rsid w:val="00CC7144"/>
    <w:rsid w:val="00CD1CC0"/>
    <w:rsid w:val="00CD29AF"/>
    <w:rsid w:val="00CD2BCD"/>
    <w:rsid w:val="00CD2C66"/>
    <w:rsid w:val="00CD3499"/>
    <w:rsid w:val="00CD3759"/>
    <w:rsid w:val="00CD3A4C"/>
    <w:rsid w:val="00CD3B72"/>
    <w:rsid w:val="00CD44EE"/>
    <w:rsid w:val="00CD477F"/>
    <w:rsid w:val="00CD646B"/>
    <w:rsid w:val="00CD6B15"/>
    <w:rsid w:val="00CD6B8C"/>
    <w:rsid w:val="00CE00D2"/>
    <w:rsid w:val="00CE0E83"/>
    <w:rsid w:val="00CE10E9"/>
    <w:rsid w:val="00CE14CD"/>
    <w:rsid w:val="00CE27D0"/>
    <w:rsid w:val="00CE2910"/>
    <w:rsid w:val="00CE2B4F"/>
    <w:rsid w:val="00CE2F69"/>
    <w:rsid w:val="00CE3114"/>
    <w:rsid w:val="00CE3579"/>
    <w:rsid w:val="00CE35D5"/>
    <w:rsid w:val="00CE41EB"/>
    <w:rsid w:val="00CE475E"/>
    <w:rsid w:val="00CE504D"/>
    <w:rsid w:val="00CE515D"/>
    <w:rsid w:val="00CE5329"/>
    <w:rsid w:val="00CE5393"/>
    <w:rsid w:val="00CE5806"/>
    <w:rsid w:val="00CE596C"/>
    <w:rsid w:val="00CE6E6F"/>
    <w:rsid w:val="00CE7351"/>
    <w:rsid w:val="00CE7BC3"/>
    <w:rsid w:val="00CF003C"/>
    <w:rsid w:val="00CF30E8"/>
    <w:rsid w:val="00CF36BE"/>
    <w:rsid w:val="00CF3E23"/>
    <w:rsid w:val="00CF4F11"/>
    <w:rsid w:val="00CF55A3"/>
    <w:rsid w:val="00CF5AF7"/>
    <w:rsid w:val="00CF6000"/>
    <w:rsid w:val="00CF6431"/>
    <w:rsid w:val="00CF6806"/>
    <w:rsid w:val="00D003F3"/>
    <w:rsid w:val="00D0056A"/>
    <w:rsid w:val="00D0285B"/>
    <w:rsid w:val="00D03441"/>
    <w:rsid w:val="00D0364F"/>
    <w:rsid w:val="00D03ED3"/>
    <w:rsid w:val="00D041EA"/>
    <w:rsid w:val="00D04950"/>
    <w:rsid w:val="00D04D5C"/>
    <w:rsid w:val="00D0651C"/>
    <w:rsid w:val="00D06834"/>
    <w:rsid w:val="00D06A39"/>
    <w:rsid w:val="00D06EAB"/>
    <w:rsid w:val="00D070FC"/>
    <w:rsid w:val="00D07655"/>
    <w:rsid w:val="00D07B0C"/>
    <w:rsid w:val="00D10000"/>
    <w:rsid w:val="00D108CA"/>
    <w:rsid w:val="00D11AFF"/>
    <w:rsid w:val="00D11C4A"/>
    <w:rsid w:val="00D12439"/>
    <w:rsid w:val="00D128A7"/>
    <w:rsid w:val="00D12B12"/>
    <w:rsid w:val="00D12D0C"/>
    <w:rsid w:val="00D1304E"/>
    <w:rsid w:val="00D1324C"/>
    <w:rsid w:val="00D132BF"/>
    <w:rsid w:val="00D141F0"/>
    <w:rsid w:val="00D14695"/>
    <w:rsid w:val="00D14D56"/>
    <w:rsid w:val="00D14F46"/>
    <w:rsid w:val="00D17703"/>
    <w:rsid w:val="00D17CC5"/>
    <w:rsid w:val="00D20125"/>
    <w:rsid w:val="00D20BBF"/>
    <w:rsid w:val="00D20EF9"/>
    <w:rsid w:val="00D210FE"/>
    <w:rsid w:val="00D214D9"/>
    <w:rsid w:val="00D21ACF"/>
    <w:rsid w:val="00D21D83"/>
    <w:rsid w:val="00D22416"/>
    <w:rsid w:val="00D228BC"/>
    <w:rsid w:val="00D2292F"/>
    <w:rsid w:val="00D22E1C"/>
    <w:rsid w:val="00D2306C"/>
    <w:rsid w:val="00D23929"/>
    <w:rsid w:val="00D2490E"/>
    <w:rsid w:val="00D25A94"/>
    <w:rsid w:val="00D265DE"/>
    <w:rsid w:val="00D26602"/>
    <w:rsid w:val="00D26C8E"/>
    <w:rsid w:val="00D27108"/>
    <w:rsid w:val="00D27718"/>
    <w:rsid w:val="00D278FF"/>
    <w:rsid w:val="00D2795F"/>
    <w:rsid w:val="00D27BAF"/>
    <w:rsid w:val="00D308ED"/>
    <w:rsid w:val="00D30BD8"/>
    <w:rsid w:val="00D30C5A"/>
    <w:rsid w:val="00D311E2"/>
    <w:rsid w:val="00D32229"/>
    <w:rsid w:val="00D3252C"/>
    <w:rsid w:val="00D3273F"/>
    <w:rsid w:val="00D33F70"/>
    <w:rsid w:val="00D355FB"/>
    <w:rsid w:val="00D36D86"/>
    <w:rsid w:val="00D36F2D"/>
    <w:rsid w:val="00D37117"/>
    <w:rsid w:val="00D37149"/>
    <w:rsid w:val="00D37835"/>
    <w:rsid w:val="00D411BF"/>
    <w:rsid w:val="00D41791"/>
    <w:rsid w:val="00D41D3F"/>
    <w:rsid w:val="00D421F8"/>
    <w:rsid w:val="00D428AA"/>
    <w:rsid w:val="00D42A2C"/>
    <w:rsid w:val="00D42D08"/>
    <w:rsid w:val="00D44369"/>
    <w:rsid w:val="00D44E7E"/>
    <w:rsid w:val="00D451A5"/>
    <w:rsid w:val="00D45CD7"/>
    <w:rsid w:val="00D461F4"/>
    <w:rsid w:val="00D46E64"/>
    <w:rsid w:val="00D473FD"/>
    <w:rsid w:val="00D50A34"/>
    <w:rsid w:val="00D50C73"/>
    <w:rsid w:val="00D510E1"/>
    <w:rsid w:val="00D51A42"/>
    <w:rsid w:val="00D51A61"/>
    <w:rsid w:val="00D5261D"/>
    <w:rsid w:val="00D52969"/>
    <w:rsid w:val="00D52D8E"/>
    <w:rsid w:val="00D52E2E"/>
    <w:rsid w:val="00D530F7"/>
    <w:rsid w:val="00D53544"/>
    <w:rsid w:val="00D53EFA"/>
    <w:rsid w:val="00D544EF"/>
    <w:rsid w:val="00D54D05"/>
    <w:rsid w:val="00D54D8C"/>
    <w:rsid w:val="00D5535A"/>
    <w:rsid w:val="00D55363"/>
    <w:rsid w:val="00D5581C"/>
    <w:rsid w:val="00D56799"/>
    <w:rsid w:val="00D6084B"/>
    <w:rsid w:val="00D60D02"/>
    <w:rsid w:val="00D614D7"/>
    <w:rsid w:val="00D61821"/>
    <w:rsid w:val="00D62790"/>
    <w:rsid w:val="00D62D61"/>
    <w:rsid w:val="00D637D3"/>
    <w:rsid w:val="00D6504E"/>
    <w:rsid w:val="00D65988"/>
    <w:rsid w:val="00D65DAD"/>
    <w:rsid w:val="00D6608F"/>
    <w:rsid w:val="00D66865"/>
    <w:rsid w:val="00D669B9"/>
    <w:rsid w:val="00D672DC"/>
    <w:rsid w:val="00D67451"/>
    <w:rsid w:val="00D67CAF"/>
    <w:rsid w:val="00D67D49"/>
    <w:rsid w:val="00D710B4"/>
    <w:rsid w:val="00D7135D"/>
    <w:rsid w:val="00D71B11"/>
    <w:rsid w:val="00D72352"/>
    <w:rsid w:val="00D7303C"/>
    <w:rsid w:val="00D7343F"/>
    <w:rsid w:val="00D74E65"/>
    <w:rsid w:val="00D75876"/>
    <w:rsid w:val="00D76445"/>
    <w:rsid w:val="00D76BCB"/>
    <w:rsid w:val="00D77200"/>
    <w:rsid w:val="00D7728D"/>
    <w:rsid w:val="00D77BF2"/>
    <w:rsid w:val="00D77CB1"/>
    <w:rsid w:val="00D8069E"/>
    <w:rsid w:val="00D80B49"/>
    <w:rsid w:val="00D80D06"/>
    <w:rsid w:val="00D8112F"/>
    <w:rsid w:val="00D81221"/>
    <w:rsid w:val="00D82437"/>
    <w:rsid w:val="00D827BC"/>
    <w:rsid w:val="00D83DE8"/>
    <w:rsid w:val="00D83E40"/>
    <w:rsid w:val="00D84306"/>
    <w:rsid w:val="00D84474"/>
    <w:rsid w:val="00D84B98"/>
    <w:rsid w:val="00D84D4B"/>
    <w:rsid w:val="00D85107"/>
    <w:rsid w:val="00D85AD8"/>
    <w:rsid w:val="00D86E41"/>
    <w:rsid w:val="00D87912"/>
    <w:rsid w:val="00D90A88"/>
    <w:rsid w:val="00D90E14"/>
    <w:rsid w:val="00D932DF"/>
    <w:rsid w:val="00D9399A"/>
    <w:rsid w:val="00D939CA"/>
    <w:rsid w:val="00D9465B"/>
    <w:rsid w:val="00D94686"/>
    <w:rsid w:val="00D94A7C"/>
    <w:rsid w:val="00D954BC"/>
    <w:rsid w:val="00D95896"/>
    <w:rsid w:val="00D9594C"/>
    <w:rsid w:val="00D96C9E"/>
    <w:rsid w:val="00D96DF3"/>
    <w:rsid w:val="00D971BA"/>
    <w:rsid w:val="00DA040A"/>
    <w:rsid w:val="00DA0C8E"/>
    <w:rsid w:val="00DA0EFE"/>
    <w:rsid w:val="00DA1549"/>
    <w:rsid w:val="00DA1A62"/>
    <w:rsid w:val="00DA1F05"/>
    <w:rsid w:val="00DA2262"/>
    <w:rsid w:val="00DA2397"/>
    <w:rsid w:val="00DA33B1"/>
    <w:rsid w:val="00DA3695"/>
    <w:rsid w:val="00DA39B8"/>
    <w:rsid w:val="00DA3B31"/>
    <w:rsid w:val="00DA3C09"/>
    <w:rsid w:val="00DA3CC2"/>
    <w:rsid w:val="00DA4267"/>
    <w:rsid w:val="00DA46E7"/>
    <w:rsid w:val="00DA4949"/>
    <w:rsid w:val="00DA4C73"/>
    <w:rsid w:val="00DA4E7A"/>
    <w:rsid w:val="00DA503A"/>
    <w:rsid w:val="00DA58B2"/>
    <w:rsid w:val="00DA6624"/>
    <w:rsid w:val="00DA69F1"/>
    <w:rsid w:val="00DA7020"/>
    <w:rsid w:val="00DA782F"/>
    <w:rsid w:val="00DA7C3B"/>
    <w:rsid w:val="00DA7DAA"/>
    <w:rsid w:val="00DB0188"/>
    <w:rsid w:val="00DB0D37"/>
    <w:rsid w:val="00DB0F8D"/>
    <w:rsid w:val="00DB2983"/>
    <w:rsid w:val="00DB2DBF"/>
    <w:rsid w:val="00DB3940"/>
    <w:rsid w:val="00DB3DFA"/>
    <w:rsid w:val="00DB3E2B"/>
    <w:rsid w:val="00DB43B2"/>
    <w:rsid w:val="00DB4DA0"/>
    <w:rsid w:val="00DB500A"/>
    <w:rsid w:val="00DB5074"/>
    <w:rsid w:val="00DB5A84"/>
    <w:rsid w:val="00DB60D3"/>
    <w:rsid w:val="00DB61DB"/>
    <w:rsid w:val="00DB66A0"/>
    <w:rsid w:val="00DB771C"/>
    <w:rsid w:val="00DC05BB"/>
    <w:rsid w:val="00DC11D9"/>
    <w:rsid w:val="00DC1257"/>
    <w:rsid w:val="00DC1799"/>
    <w:rsid w:val="00DC1896"/>
    <w:rsid w:val="00DC1A05"/>
    <w:rsid w:val="00DC204C"/>
    <w:rsid w:val="00DC2B35"/>
    <w:rsid w:val="00DC3440"/>
    <w:rsid w:val="00DC3D7B"/>
    <w:rsid w:val="00DC3DC0"/>
    <w:rsid w:val="00DC42BB"/>
    <w:rsid w:val="00DC44DE"/>
    <w:rsid w:val="00DC4B29"/>
    <w:rsid w:val="00DC5245"/>
    <w:rsid w:val="00DC52BD"/>
    <w:rsid w:val="00DC5B2B"/>
    <w:rsid w:val="00DC6E17"/>
    <w:rsid w:val="00DC72B2"/>
    <w:rsid w:val="00DC7432"/>
    <w:rsid w:val="00DD0E8E"/>
    <w:rsid w:val="00DD10FA"/>
    <w:rsid w:val="00DD15AF"/>
    <w:rsid w:val="00DD2813"/>
    <w:rsid w:val="00DD318D"/>
    <w:rsid w:val="00DD38CC"/>
    <w:rsid w:val="00DD3AED"/>
    <w:rsid w:val="00DD3B2C"/>
    <w:rsid w:val="00DD48C8"/>
    <w:rsid w:val="00DD4FD8"/>
    <w:rsid w:val="00DD5B05"/>
    <w:rsid w:val="00DD6167"/>
    <w:rsid w:val="00DD6736"/>
    <w:rsid w:val="00DD6CAC"/>
    <w:rsid w:val="00DD75C3"/>
    <w:rsid w:val="00DD7E4E"/>
    <w:rsid w:val="00DE02DB"/>
    <w:rsid w:val="00DE04D6"/>
    <w:rsid w:val="00DE14B1"/>
    <w:rsid w:val="00DE1777"/>
    <w:rsid w:val="00DE26E0"/>
    <w:rsid w:val="00DE2B5A"/>
    <w:rsid w:val="00DE32E8"/>
    <w:rsid w:val="00DE54C5"/>
    <w:rsid w:val="00DF2136"/>
    <w:rsid w:val="00DF26E3"/>
    <w:rsid w:val="00DF2E12"/>
    <w:rsid w:val="00DF376D"/>
    <w:rsid w:val="00DF3BA4"/>
    <w:rsid w:val="00DF3DCE"/>
    <w:rsid w:val="00DF4AE8"/>
    <w:rsid w:val="00DF514A"/>
    <w:rsid w:val="00DF5D62"/>
    <w:rsid w:val="00DF6690"/>
    <w:rsid w:val="00DF6804"/>
    <w:rsid w:val="00DF75B3"/>
    <w:rsid w:val="00DF7AEE"/>
    <w:rsid w:val="00E00659"/>
    <w:rsid w:val="00E01649"/>
    <w:rsid w:val="00E017DE"/>
    <w:rsid w:val="00E01E41"/>
    <w:rsid w:val="00E01FBF"/>
    <w:rsid w:val="00E0358D"/>
    <w:rsid w:val="00E04323"/>
    <w:rsid w:val="00E046DF"/>
    <w:rsid w:val="00E049A4"/>
    <w:rsid w:val="00E04B49"/>
    <w:rsid w:val="00E054F5"/>
    <w:rsid w:val="00E0614B"/>
    <w:rsid w:val="00E06AA0"/>
    <w:rsid w:val="00E070A2"/>
    <w:rsid w:val="00E10471"/>
    <w:rsid w:val="00E10A3A"/>
    <w:rsid w:val="00E11287"/>
    <w:rsid w:val="00E11379"/>
    <w:rsid w:val="00E12726"/>
    <w:rsid w:val="00E12F12"/>
    <w:rsid w:val="00E1381F"/>
    <w:rsid w:val="00E1458F"/>
    <w:rsid w:val="00E145EA"/>
    <w:rsid w:val="00E15310"/>
    <w:rsid w:val="00E17508"/>
    <w:rsid w:val="00E202F8"/>
    <w:rsid w:val="00E206C5"/>
    <w:rsid w:val="00E20BFB"/>
    <w:rsid w:val="00E21019"/>
    <w:rsid w:val="00E21509"/>
    <w:rsid w:val="00E21E67"/>
    <w:rsid w:val="00E220D6"/>
    <w:rsid w:val="00E2333B"/>
    <w:rsid w:val="00E2441D"/>
    <w:rsid w:val="00E2442E"/>
    <w:rsid w:val="00E244E8"/>
    <w:rsid w:val="00E24AFD"/>
    <w:rsid w:val="00E2553C"/>
    <w:rsid w:val="00E2656A"/>
    <w:rsid w:val="00E268DC"/>
    <w:rsid w:val="00E273C6"/>
    <w:rsid w:val="00E27FB0"/>
    <w:rsid w:val="00E314F9"/>
    <w:rsid w:val="00E318C4"/>
    <w:rsid w:val="00E32257"/>
    <w:rsid w:val="00E32DEA"/>
    <w:rsid w:val="00E33037"/>
    <w:rsid w:val="00E33425"/>
    <w:rsid w:val="00E34286"/>
    <w:rsid w:val="00E345E2"/>
    <w:rsid w:val="00E348E9"/>
    <w:rsid w:val="00E34CD8"/>
    <w:rsid w:val="00E357DF"/>
    <w:rsid w:val="00E35DA3"/>
    <w:rsid w:val="00E37556"/>
    <w:rsid w:val="00E400DC"/>
    <w:rsid w:val="00E40500"/>
    <w:rsid w:val="00E40624"/>
    <w:rsid w:val="00E412D0"/>
    <w:rsid w:val="00E42411"/>
    <w:rsid w:val="00E42DA2"/>
    <w:rsid w:val="00E42EC5"/>
    <w:rsid w:val="00E4305B"/>
    <w:rsid w:val="00E4377D"/>
    <w:rsid w:val="00E4423B"/>
    <w:rsid w:val="00E44AE0"/>
    <w:rsid w:val="00E4562E"/>
    <w:rsid w:val="00E459B0"/>
    <w:rsid w:val="00E463BC"/>
    <w:rsid w:val="00E46524"/>
    <w:rsid w:val="00E47D07"/>
    <w:rsid w:val="00E5088C"/>
    <w:rsid w:val="00E50E14"/>
    <w:rsid w:val="00E51341"/>
    <w:rsid w:val="00E515E2"/>
    <w:rsid w:val="00E52639"/>
    <w:rsid w:val="00E538E5"/>
    <w:rsid w:val="00E538EB"/>
    <w:rsid w:val="00E53A44"/>
    <w:rsid w:val="00E53BAD"/>
    <w:rsid w:val="00E53F78"/>
    <w:rsid w:val="00E545C7"/>
    <w:rsid w:val="00E546D1"/>
    <w:rsid w:val="00E5483D"/>
    <w:rsid w:val="00E54B70"/>
    <w:rsid w:val="00E54DCF"/>
    <w:rsid w:val="00E557D6"/>
    <w:rsid w:val="00E55D82"/>
    <w:rsid w:val="00E56322"/>
    <w:rsid w:val="00E56CD8"/>
    <w:rsid w:val="00E570F8"/>
    <w:rsid w:val="00E578A0"/>
    <w:rsid w:val="00E60982"/>
    <w:rsid w:val="00E60DBC"/>
    <w:rsid w:val="00E6140F"/>
    <w:rsid w:val="00E622D2"/>
    <w:rsid w:val="00E62A12"/>
    <w:rsid w:val="00E62C45"/>
    <w:rsid w:val="00E62C62"/>
    <w:rsid w:val="00E6396F"/>
    <w:rsid w:val="00E63F7A"/>
    <w:rsid w:val="00E6489E"/>
    <w:rsid w:val="00E64CD0"/>
    <w:rsid w:val="00E65392"/>
    <w:rsid w:val="00E654C1"/>
    <w:rsid w:val="00E65D97"/>
    <w:rsid w:val="00E65DDC"/>
    <w:rsid w:val="00E66E87"/>
    <w:rsid w:val="00E70ED2"/>
    <w:rsid w:val="00E710FD"/>
    <w:rsid w:val="00E7129D"/>
    <w:rsid w:val="00E71C3E"/>
    <w:rsid w:val="00E72A5A"/>
    <w:rsid w:val="00E73354"/>
    <w:rsid w:val="00E743A8"/>
    <w:rsid w:val="00E747A7"/>
    <w:rsid w:val="00E74F9F"/>
    <w:rsid w:val="00E7554F"/>
    <w:rsid w:val="00E756B5"/>
    <w:rsid w:val="00E75D83"/>
    <w:rsid w:val="00E76E8A"/>
    <w:rsid w:val="00E77901"/>
    <w:rsid w:val="00E77B2D"/>
    <w:rsid w:val="00E77C16"/>
    <w:rsid w:val="00E81D22"/>
    <w:rsid w:val="00E825BC"/>
    <w:rsid w:val="00E83473"/>
    <w:rsid w:val="00E835A6"/>
    <w:rsid w:val="00E843C5"/>
    <w:rsid w:val="00E844EB"/>
    <w:rsid w:val="00E84928"/>
    <w:rsid w:val="00E850A5"/>
    <w:rsid w:val="00E854E1"/>
    <w:rsid w:val="00E8589F"/>
    <w:rsid w:val="00E86ADE"/>
    <w:rsid w:val="00E86B06"/>
    <w:rsid w:val="00E86C76"/>
    <w:rsid w:val="00E87340"/>
    <w:rsid w:val="00E87BF2"/>
    <w:rsid w:val="00E90771"/>
    <w:rsid w:val="00E90A38"/>
    <w:rsid w:val="00E90AF6"/>
    <w:rsid w:val="00E9128A"/>
    <w:rsid w:val="00E9140D"/>
    <w:rsid w:val="00E91E0D"/>
    <w:rsid w:val="00E922AF"/>
    <w:rsid w:val="00E9242D"/>
    <w:rsid w:val="00E93606"/>
    <w:rsid w:val="00E9389F"/>
    <w:rsid w:val="00E93C74"/>
    <w:rsid w:val="00E94073"/>
    <w:rsid w:val="00E94567"/>
    <w:rsid w:val="00E94D9D"/>
    <w:rsid w:val="00E95120"/>
    <w:rsid w:val="00E9553B"/>
    <w:rsid w:val="00E9569F"/>
    <w:rsid w:val="00E97ABB"/>
    <w:rsid w:val="00EA02DB"/>
    <w:rsid w:val="00EA0BFB"/>
    <w:rsid w:val="00EA0FD7"/>
    <w:rsid w:val="00EA14AD"/>
    <w:rsid w:val="00EA1DD1"/>
    <w:rsid w:val="00EA2602"/>
    <w:rsid w:val="00EA34C3"/>
    <w:rsid w:val="00EA4025"/>
    <w:rsid w:val="00EA4B50"/>
    <w:rsid w:val="00EA562C"/>
    <w:rsid w:val="00EA59D8"/>
    <w:rsid w:val="00EA5A9C"/>
    <w:rsid w:val="00EA5DE9"/>
    <w:rsid w:val="00EA5E25"/>
    <w:rsid w:val="00EA6407"/>
    <w:rsid w:val="00EA7033"/>
    <w:rsid w:val="00EA7D74"/>
    <w:rsid w:val="00EA7FE3"/>
    <w:rsid w:val="00EB0108"/>
    <w:rsid w:val="00EB05FE"/>
    <w:rsid w:val="00EB0779"/>
    <w:rsid w:val="00EB087C"/>
    <w:rsid w:val="00EB3057"/>
    <w:rsid w:val="00EB39D2"/>
    <w:rsid w:val="00EB4DDB"/>
    <w:rsid w:val="00EB5255"/>
    <w:rsid w:val="00EB53C6"/>
    <w:rsid w:val="00EB5C47"/>
    <w:rsid w:val="00EB5CB9"/>
    <w:rsid w:val="00EB5EDA"/>
    <w:rsid w:val="00EB6E12"/>
    <w:rsid w:val="00EB7567"/>
    <w:rsid w:val="00EB76DB"/>
    <w:rsid w:val="00EC1405"/>
    <w:rsid w:val="00EC1CD5"/>
    <w:rsid w:val="00EC1E31"/>
    <w:rsid w:val="00EC230B"/>
    <w:rsid w:val="00EC2362"/>
    <w:rsid w:val="00EC2B3B"/>
    <w:rsid w:val="00EC3026"/>
    <w:rsid w:val="00EC34B0"/>
    <w:rsid w:val="00EC3CDA"/>
    <w:rsid w:val="00EC3F68"/>
    <w:rsid w:val="00EC406B"/>
    <w:rsid w:val="00EC51CB"/>
    <w:rsid w:val="00EC5618"/>
    <w:rsid w:val="00EC5634"/>
    <w:rsid w:val="00EC60B7"/>
    <w:rsid w:val="00EC617C"/>
    <w:rsid w:val="00EC6779"/>
    <w:rsid w:val="00EC6D98"/>
    <w:rsid w:val="00EC709C"/>
    <w:rsid w:val="00EC7518"/>
    <w:rsid w:val="00EC75A4"/>
    <w:rsid w:val="00EC7785"/>
    <w:rsid w:val="00EC7B50"/>
    <w:rsid w:val="00ED0639"/>
    <w:rsid w:val="00ED07FB"/>
    <w:rsid w:val="00ED0CCC"/>
    <w:rsid w:val="00ED2225"/>
    <w:rsid w:val="00ED22CB"/>
    <w:rsid w:val="00ED2352"/>
    <w:rsid w:val="00ED2713"/>
    <w:rsid w:val="00ED2A2E"/>
    <w:rsid w:val="00ED2AE6"/>
    <w:rsid w:val="00ED3437"/>
    <w:rsid w:val="00ED3D31"/>
    <w:rsid w:val="00ED3DF0"/>
    <w:rsid w:val="00ED4379"/>
    <w:rsid w:val="00ED4780"/>
    <w:rsid w:val="00ED4839"/>
    <w:rsid w:val="00ED52D9"/>
    <w:rsid w:val="00ED54A5"/>
    <w:rsid w:val="00ED5834"/>
    <w:rsid w:val="00ED58A9"/>
    <w:rsid w:val="00ED5C2C"/>
    <w:rsid w:val="00ED5C3D"/>
    <w:rsid w:val="00ED5FDB"/>
    <w:rsid w:val="00ED77F3"/>
    <w:rsid w:val="00ED7953"/>
    <w:rsid w:val="00EE00CB"/>
    <w:rsid w:val="00EE1206"/>
    <w:rsid w:val="00EE1A11"/>
    <w:rsid w:val="00EE2B0B"/>
    <w:rsid w:val="00EE2D25"/>
    <w:rsid w:val="00EE48B9"/>
    <w:rsid w:val="00EE4B04"/>
    <w:rsid w:val="00EE4FAC"/>
    <w:rsid w:val="00EE5E06"/>
    <w:rsid w:val="00EE7599"/>
    <w:rsid w:val="00EE786C"/>
    <w:rsid w:val="00EE7B69"/>
    <w:rsid w:val="00EF0670"/>
    <w:rsid w:val="00EF0869"/>
    <w:rsid w:val="00EF157E"/>
    <w:rsid w:val="00EF2AE6"/>
    <w:rsid w:val="00EF35D6"/>
    <w:rsid w:val="00EF3AD5"/>
    <w:rsid w:val="00EF4549"/>
    <w:rsid w:val="00EF4755"/>
    <w:rsid w:val="00EF5C5C"/>
    <w:rsid w:val="00EF5F19"/>
    <w:rsid w:val="00EF61E9"/>
    <w:rsid w:val="00EF629F"/>
    <w:rsid w:val="00EF6320"/>
    <w:rsid w:val="00EF6EE8"/>
    <w:rsid w:val="00EF7135"/>
    <w:rsid w:val="00EF71D3"/>
    <w:rsid w:val="00EF75D0"/>
    <w:rsid w:val="00EF764A"/>
    <w:rsid w:val="00EF7D40"/>
    <w:rsid w:val="00EF7F34"/>
    <w:rsid w:val="00F00036"/>
    <w:rsid w:val="00F007E2"/>
    <w:rsid w:val="00F00AFE"/>
    <w:rsid w:val="00F01140"/>
    <w:rsid w:val="00F0158A"/>
    <w:rsid w:val="00F015B2"/>
    <w:rsid w:val="00F01BAB"/>
    <w:rsid w:val="00F023F9"/>
    <w:rsid w:val="00F027DB"/>
    <w:rsid w:val="00F02E14"/>
    <w:rsid w:val="00F03609"/>
    <w:rsid w:val="00F0368B"/>
    <w:rsid w:val="00F036AE"/>
    <w:rsid w:val="00F043A5"/>
    <w:rsid w:val="00F04594"/>
    <w:rsid w:val="00F04C16"/>
    <w:rsid w:val="00F050EE"/>
    <w:rsid w:val="00F05371"/>
    <w:rsid w:val="00F0565F"/>
    <w:rsid w:val="00F05B6C"/>
    <w:rsid w:val="00F06567"/>
    <w:rsid w:val="00F06D64"/>
    <w:rsid w:val="00F06D84"/>
    <w:rsid w:val="00F06F47"/>
    <w:rsid w:val="00F0771D"/>
    <w:rsid w:val="00F11087"/>
    <w:rsid w:val="00F1159B"/>
    <w:rsid w:val="00F11DFE"/>
    <w:rsid w:val="00F129CF"/>
    <w:rsid w:val="00F12DCA"/>
    <w:rsid w:val="00F12EFC"/>
    <w:rsid w:val="00F132E8"/>
    <w:rsid w:val="00F139C7"/>
    <w:rsid w:val="00F1454C"/>
    <w:rsid w:val="00F14706"/>
    <w:rsid w:val="00F14821"/>
    <w:rsid w:val="00F148DC"/>
    <w:rsid w:val="00F14A7A"/>
    <w:rsid w:val="00F14B11"/>
    <w:rsid w:val="00F14CFA"/>
    <w:rsid w:val="00F15D05"/>
    <w:rsid w:val="00F166BA"/>
    <w:rsid w:val="00F167EE"/>
    <w:rsid w:val="00F1685D"/>
    <w:rsid w:val="00F17504"/>
    <w:rsid w:val="00F203ED"/>
    <w:rsid w:val="00F206D5"/>
    <w:rsid w:val="00F207CD"/>
    <w:rsid w:val="00F21528"/>
    <w:rsid w:val="00F21B39"/>
    <w:rsid w:val="00F221BD"/>
    <w:rsid w:val="00F22985"/>
    <w:rsid w:val="00F22FD2"/>
    <w:rsid w:val="00F236A3"/>
    <w:rsid w:val="00F2375B"/>
    <w:rsid w:val="00F238A8"/>
    <w:rsid w:val="00F23DFC"/>
    <w:rsid w:val="00F23F4C"/>
    <w:rsid w:val="00F24A55"/>
    <w:rsid w:val="00F24F1B"/>
    <w:rsid w:val="00F25238"/>
    <w:rsid w:val="00F25758"/>
    <w:rsid w:val="00F26011"/>
    <w:rsid w:val="00F261EA"/>
    <w:rsid w:val="00F26224"/>
    <w:rsid w:val="00F26C0A"/>
    <w:rsid w:val="00F277AD"/>
    <w:rsid w:val="00F27B5A"/>
    <w:rsid w:val="00F30249"/>
    <w:rsid w:val="00F31DA4"/>
    <w:rsid w:val="00F3383E"/>
    <w:rsid w:val="00F339DA"/>
    <w:rsid w:val="00F33AC9"/>
    <w:rsid w:val="00F34A6B"/>
    <w:rsid w:val="00F35637"/>
    <w:rsid w:val="00F35874"/>
    <w:rsid w:val="00F365EE"/>
    <w:rsid w:val="00F36722"/>
    <w:rsid w:val="00F37A22"/>
    <w:rsid w:val="00F40302"/>
    <w:rsid w:val="00F410FC"/>
    <w:rsid w:val="00F42136"/>
    <w:rsid w:val="00F4239A"/>
    <w:rsid w:val="00F428E1"/>
    <w:rsid w:val="00F42FEB"/>
    <w:rsid w:val="00F43BD2"/>
    <w:rsid w:val="00F43EC6"/>
    <w:rsid w:val="00F4402F"/>
    <w:rsid w:val="00F4405B"/>
    <w:rsid w:val="00F44BD9"/>
    <w:rsid w:val="00F44CEF"/>
    <w:rsid w:val="00F45374"/>
    <w:rsid w:val="00F46096"/>
    <w:rsid w:val="00F46561"/>
    <w:rsid w:val="00F465A7"/>
    <w:rsid w:val="00F468FC"/>
    <w:rsid w:val="00F47138"/>
    <w:rsid w:val="00F4726E"/>
    <w:rsid w:val="00F47E25"/>
    <w:rsid w:val="00F5070D"/>
    <w:rsid w:val="00F50A32"/>
    <w:rsid w:val="00F50B70"/>
    <w:rsid w:val="00F50B7C"/>
    <w:rsid w:val="00F53E64"/>
    <w:rsid w:val="00F54B97"/>
    <w:rsid w:val="00F550E6"/>
    <w:rsid w:val="00F561A9"/>
    <w:rsid w:val="00F57021"/>
    <w:rsid w:val="00F577B0"/>
    <w:rsid w:val="00F60329"/>
    <w:rsid w:val="00F60343"/>
    <w:rsid w:val="00F604B8"/>
    <w:rsid w:val="00F61CA0"/>
    <w:rsid w:val="00F627CC"/>
    <w:rsid w:val="00F6290C"/>
    <w:rsid w:val="00F62A99"/>
    <w:rsid w:val="00F634CF"/>
    <w:rsid w:val="00F6354B"/>
    <w:rsid w:val="00F640ED"/>
    <w:rsid w:val="00F645B4"/>
    <w:rsid w:val="00F65C37"/>
    <w:rsid w:val="00F65DFC"/>
    <w:rsid w:val="00F66E41"/>
    <w:rsid w:val="00F67602"/>
    <w:rsid w:val="00F679E3"/>
    <w:rsid w:val="00F67D2D"/>
    <w:rsid w:val="00F70200"/>
    <w:rsid w:val="00F702A9"/>
    <w:rsid w:val="00F70E3D"/>
    <w:rsid w:val="00F71067"/>
    <w:rsid w:val="00F71B73"/>
    <w:rsid w:val="00F71F86"/>
    <w:rsid w:val="00F72138"/>
    <w:rsid w:val="00F72C03"/>
    <w:rsid w:val="00F74345"/>
    <w:rsid w:val="00F74474"/>
    <w:rsid w:val="00F74ACE"/>
    <w:rsid w:val="00F74CBA"/>
    <w:rsid w:val="00F75627"/>
    <w:rsid w:val="00F75EAD"/>
    <w:rsid w:val="00F75F10"/>
    <w:rsid w:val="00F76123"/>
    <w:rsid w:val="00F77AA1"/>
    <w:rsid w:val="00F77DDB"/>
    <w:rsid w:val="00F77DE6"/>
    <w:rsid w:val="00F77F49"/>
    <w:rsid w:val="00F80A0A"/>
    <w:rsid w:val="00F82B19"/>
    <w:rsid w:val="00F82E00"/>
    <w:rsid w:val="00F83024"/>
    <w:rsid w:val="00F835F8"/>
    <w:rsid w:val="00F8545A"/>
    <w:rsid w:val="00F856E2"/>
    <w:rsid w:val="00F858AF"/>
    <w:rsid w:val="00F86291"/>
    <w:rsid w:val="00F86382"/>
    <w:rsid w:val="00F87656"/>
    <w:rsid w:val="00F8774C"/>
    <w:rsid w:val="00F9017F"/>
    <w:rsid w:val="00F9064B"/>
    <w:rsid w:val="00F9079F"/>
    <w:rsid w:val="00F917EF"/>
    <w:rsid w:val="00F91A69"/>
    <w:rsid w:val="00F9212D"/>
    <w:rsid w:val="00F92BF7"/>
    <w:rsid w:val="00F93A68"/>
    <w:rsid w:val="00F93C3F"/>
    <w:rsid w:val="00F93C6F"/>
    <w:rsid w:val="00F940F6"/>
    <w:rsid w:val="00F94588"/>
    <w:rsid w:val="00F94692"/>
    <w:rsid w:val="00F94717"/>
    <w:rsid w:val="00F94792"/>
    <w:rsid w:val="00F95F2D"/>
    <w:rsid w:val="00F96072"/>
    <w:rsid w:val="00F963CB"/>
    <w:rsid w:val="00F965DA"/>
    <w:rsid w:val="00F9674B"/>
    <w:rsid w:val="00FA0905"/>
    <w:rsid w:val="00FA0B4E"/>
    <w:rsid w:val="00FA0B63"/>
    <w:rsid w:val="00FA16DD"/>
    <w:rsid w:val="00FA2B82"/>
    <w:rsid w:val="00FA33C5"/>
    <w:rsid w:val="00FA33E0"/>
    <w:rsid w:val="00FA3EE9"/>
    <w:rsid w:val="00FA3FD2"/>
    <w:rsid w:val="00FA406A"/>
    <w:rsid w:val="00FA463E"/>
    <w:rsid w:val="00FA4AAC"/>
    <w:rsid w:val="00FA51DF"/>
    <w:rsid w:val="00FA5A03"/>
    <w:rsid w:val="00FA6858"/>
    <w:rsid w:val="00FA69DB"/>
    <w:rsid w:val="00FA6EA9"/>
    <w:rsid w:val="00FB00CC"/>
    <w:rsid w:val="00FB17B4"/>
    <w:rsid w:val="00FB18A2"/>
    <w:rsid w:val="00FB369C"/>
    <w:rsid w:val="00FB3C63"/>
    <w:rsid w:val="00FB3D15"/>
    <w:rsid w:val="00FB40F3"/>
    <w:rsid w:val="00FB4D70"/>
    <w:rsid w:val="00FB503A"/>
    <w:rsid w:val="00FB516C"/>
    <w:rsid w:val="00FB5A40"/>
    <w:rsid w:val="00FB5B96"/>
    <w:rsid w:val="00FB5E72"/>
    <w:rsid w:val="00FB6449"/>
    <w:rsid w:val="00FB66A5"/>
    <w:rsid w:val="00FB746C"/>
    <w:rsid w:val="00FB7DC9"/>
    <w:rsid w:val="00FC0A91"/>
    <w:rsid w:val="00FC0CA9"/>
    <w:rsid w:val="00FC13A9"/>
    <w:rsid w:val="00FC1D18"/>
    <w:rsid w:val="00FC1F03"/>
    <w:rsid w:val="00FC20E5"/>
    <w:rsid w:val="00FC4C36"/>
    <w:rsid w:val="00FC52FA"/>
    <w:rsid w:val="00FC66C3"/>
    <w:rsid w:val="00FC6786"/>
    <w:rsid w:val="00FC6C3D"/>
    <w:rsid w:val="00FC6C4F"/>
    <w:rsid w:val="00FC7C2B"/>
    <w:rsid w:val="00FD015E"/>
    <w:rsid w:val="00FD0236"/>
    <w:rsid w:val="00FD039B"/>
    <w:rsid w:val="00FD0561"/>
    <w:rsid w:val="00FD0F1D"/>
    <w:rsid w:val="00FD0F56"/>
    <w:rsid w:val="00FD11B3"/>
    <w:rsid w:val="00FD12AA"/>
    <w:rsid w:val="00FD1545"/>
    <w:rsid w:val="00FD18F4"/>
    <w:rsid w:val="00FD28F1"/>
    <w:rsid w:val="00FD2B46"/>
    <w:rsid w:val="00FD3BBE"/>
    <w:rsid w:val="00FD3DFF"/>
    <w:rsid w:val="00FD3E97"/>
    <w:rsid w:val="00FD54DB"/>
    <w:rsid w:val="00FD5529"/>
    <w:rsid w:val="00FD56F6"/>
    <w:rsid w:val="00FD5FDE"/>
    <w:rsid w:val="00FD619F"/>
    <w:rsid w:val="00FD630A"/>
    <w:rsid w:val="00FD7276"/>
    <w:rsid w:val="00FE075E"/>
    <w:rsid w:val="00FE0BAD"/>
    <w:rsid w:val="00FE19CF"/>
    <w:rsid w:val="00FE1A0A"/>
    <w:rsid w:val="00FE1B5E"/>
    <w:rsid w:val="00FE260D"/>
    <w:rsid w:val="00FE2E36"/>
    <w:rsid w:val="00FE2F76"/>
    <w:rsid w:val="00FE435F"/>
    <w:rsid w:val="00FE47A1"/>
    <w:rsid w:val="00FE5EA8"/>
    <w:rsid w:val="00FE5ECF"/>
    <w:rsid w:val="00FE65C1"/>
    <w:rsid w:val="00FE691D"/>
    <w:rsid w:val="00FE7795"/>
    <w:rsid w:val="00FF0304"/>
    <w:rsid w:val="00FF041D"/>
    <w:rsid w:val="00FF1851"/>
    <w:rsid w:val="00FF1D9B"/>
    <w:rsid w:val="00FF27A9"/>
    <w:rsid w:val="00FF38D1"/>
    <w:rsid w:val="00FF3FFD"/>
    <w:rsid w:val="00FF42BC"/>
    <w:rsid w:val="00FF42CA"/>
    <w:rsid w:val="00FF44C0"/>
    <w:rsid w:val="00FF476D"/>
    <w:rsid w:val="00FF4C95"/>
    <w:rsid w:val="00FF4D84"/>
    <w:rsid w:val="00FF5595"/>
    <w:rsid w:val="00FF55EB"/>
    <w:rsid w:val="00FF5D17"/>
    <w:rsid w:val="00FF5E46"/>
    <w:rsid w:val="00FF5EBA"/>
    <w:rsid w:val="00FF6BF9"/>
    <w:rsid w:val="00FF7578"/>
    <w:rsid w:val="01290F7E"/>
    <w:rsid w:val="015D1E09"/>
    <w:rsid w:val="02697903"/>
    <w:rsid w:val="02CB202D"/>
    <w:rsid w:val="02F96569"/>
    <w:rsid w:val="03EA7B21"/>
    <w:rsid w:val="05F83EAE"/>
    <w:rsid w:val="063E7D85"/>
    <w:rsid w:val="06967F76"/>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2716FFA"/>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B55749"/>
    <w:rsid w:val="1CFD070F"/>
    <w:rsid w:val="1D5F6196"/>
    <w:rsid w:val="1D6132A5"/>
    <w:rsid w:val="1D8E56D5"/>
    <w:rsid w:val="1E7A43DA"/>
    <w:rsid w:val="1FE7539E"/>
    <w:rsid w:val="20671BE0"/>
    <w:rsid w:val="20963CB8"/>
    <w:rsid w:val="20A81A1B"/>
    <w:rsid w:val="20B07FB6"/>
    <w:rsid w:val="20B646FB"/>
    <w:rsid w:val="211522C8"/>
    <w:rsid w:val="213B74B1"/>
    <w:rsid w:val="215A2310"/>
    <w:rsid w:val="21DE318A"/>
    <w:rsid w:val="21EF5B80"/>
    <w:rsid w:val="22576990"/>
    <w:rsid w:val="22F47480"/>
    <w:rsid w:val="23DE1C48"/>
    <w:rsid w:val="240210CD"/>
    <w:rsid w:val="24BF09F7"/>
    <w:rsid w:val="24E54A43"/>
    <w:rsid w:val="252D53FE"/>
    <w:rsid w:val="25EC2D81"/>
    <w:rsid w:val="277057A2"/>
    <w:rsid w:val="29206EB8"/>
    <w:rsid w:val="29595666"/>
    <w:rsid w:val="29874881"/>
    <w:rsid w:val="29E325E0"/>
    <w:rsid w:val="2A452503"/>
    <w:rsid w:val="2B532EAE"/>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A5221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7E05ED"/>
    <w:rsid w:val="3A872856"/>
    <w:rsid w:val="3B3763D1"/>
    <w:rsid w:val="3C2F6E1E"/>
    <w:rsid w:val="3C4F64BA"/>
    <w:rsid w:val="3CDA245A"/>
    <w:rsid w:val="3D166608"/>
    <w:rsid w:val="3D1E06B7"/>
    <w:rsid w:val="3EDA0523"/>
    <w:rsid w:val="407A6407"/>
    <w:rsid w:val="4095798D"/>
    <w:rsid w:val="4200449D"/>
    <w:rsid w:val="423A3BCC"/>
    <w:rsid w:val="424E57D2"/>
    <w:rsid w:val="42B26C49"/>
    <w:rsid w:val="433A6FE6"/>
    <w:rsid w:val="43480868"/>
    <w:rsid w:val="4350713C"/>
    <w:rsid w:val="436653E0"/>
    <w:rsid w:val="43C4431A"/>
    <w:rsid w:val="448846D2"/>
    <w:rsid w:val="44B951CC"/>
    <w:rsid w:val="44CD14E0"/>
    <w:rsid w:val="44F20B0B"/>
    <w:rsid w:val="452E5F4C"/>
    <w:rsid w:val="45612018"/>
    <w:rsid w:val="458946E9"/>
    <w:rsid w:val="45A47C0E"/>
    <w:rsid w:val="46577FD6"/>
    <w:rsid w:val="46D955A7"/>
    <w:rsid w:val="47133957"/>
    <w:rsid w:val="47773D4A"/>
    <w:rsid w:val="47A07E0C"/>
    <w:rsid w:val="4870272E"/>
    <w:rsid w:val="48B507D1"/>
    <w:rsid w:val="49461961"/>
    <w:rsid w:val="49DC7715"/>
    <w:rsid w:val="4A023139"/>
    <w:rsid w:val="4A7B576F"/>
    <w:rsid w:val="4AF561A9"/>
    <w:rsid w:val="4BB32604"/>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0F2629"/>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751207"/>
    <w:rsid w:val="68805514"/>
    <w:rsid w:val="69316E2F"/>
    <w:rsid w:val="694E2071"/>
    <w:rsid w:val="69766163"/>
    <w:rsid w:val="697A3B33"/>
    <w:rsid w:val="69D44760"/>
    <w:rsid w:val="6A520EC7"/>
    <w:rsid w:val="6A9C7225"/>
    <w:rsid w:val="6AF87E20"/>
    <w:rsid w:val="6B322639"/>
    <w:rsid w:val="6C636C38"/>
    <w:rsid w:val="6DB34098"/>
    <w:rsid w:val="6DB545B6"/>
    <w:rsid w:val="6DE02FB4"/>
    <w:rsid w:val="6E514CED"/>
    <w:rsid w:val="6EB563D5"/>
    <w:rsid w:val="6ED92677"/>
    <w:rsid w:val="6F225983"/>
    <w:rsid w:val="6F5E29F5"/>
    <w:rsid w:val="6FFC5590"/>
    <w:rsid w:val="706D1DD0"/>
    <w:rsid w:val="70856B87"/>
    <w:rsid w:val="70D527EE"/>
    <w:rsid w:val="715B5300"/>
    <w:rsid w:val="71CF64DC"/>
    <w:rsid w:val="71D27F8A"/>
    <w:rsid w:val="72553024"/>
    <w:rsid w:val="73122968"/>
    <w:rsid w:val="731F5D5E"/>
    <w:rsid w:val="73C51AD5"/>
    <w:rsid w:val="741E793C"/>
    <w:rsid w:val="745E3944"/>
    <w:rsid w:val="7635099D"/>
    <w:rsid w:val="77762421"/>
    <w:rsid w:val="77B56B1F"/>
    <w:rsid w:val="780F09F4"/>
    <w:rsid w:val="78A90480"/>
    <w:rsid w:val="797A06D0"/>
    <w:rsid w:val="7A364017"/>
    <w:rsid w:val="7A7F0743"/>
    <w:rsid w:val="7A8265E1"/>
    <w:rsid w:val="7B686D42"/>
    <w:rsid w:val="7B841746"/>
    <w:rsid w:val="7C6C5AC7"/>
    <w:rsid w:val="7CC6544B"/>
    <w:rsid w:val="7D0239FF"/>
    <w:rsid w:val="7D3E6B3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9" w:semiHidden="0" w:name="heading 5" w:locked="1"/>
    <w:lsdException w:qFormat="1" w:unhideWhenUsed="0" w:uiPriority="9" w:semiHidden="0" w:name="heading 6" w:locked="1"/>
    <w:lsdException w:qFormat="1" w:unhideWhenUsed="0" w:uiPriority="9" w:semiHidden="0" w:name="heading 7" w:locked="1"/>
    <w:lsdException w:qFormat="1" w:unhideWhenUsed="0" w:uiPriority="9" w:semiHidden="0" w:name="heading 8" w:locked="1"/>
    <w:lsdException w:qFormat="1" w:unhideWhenUsed="0" w:uiPriority="9" w:semiHidden="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1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11"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99"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99"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39" w:semiHidden="0" w:name="Table Grid"/>
    <w:lsdException w:uiPriority="0" w:name="Table Theme" w:locked="1"/>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4"/>
    <w:link w:val="49"/>
    <w:qFormat/>
    <w:locked/>
    <w:uiPriority w:val="0"/>
    <w:pPr>
      <w:spacing w:line="520" w:lineRule="exact"/>
      <w:jc w:val="left"/>
      <w:outlineLvl w:val="1"/>
    </w:pPr>
    <w:rPr>
      <w:rFonts w:eastAsia="黑体"/>
      <w:sz w:val="28"/>
      <w:szCs w:val="28"/>
    </w:rPr>
  </w:style>
  <w:style w:type="paragraph" w:styleId="5">
    <w:name w:val="heading 3"/>
    <w:basedOn w:val="1"/>
    <w:next w:val="1"/>
    <w:link w:val="51"/>
    <w:qFormat/>
    <w:locked/>
    <w:uiPriority w:val="0"/>
    <w:pPr>
      <w:keepNext/>
      <w:keepLines/>
      <w:adjustRightInd w:val="0"/>
      <w:snapToGrid w:val="0"/>
      <w:spacing w:before="240" w:after="240"/>
      <w:jc w:val="left"/>
      <w:textAlignment w:val="baseline"/>
      <w:outlineLvl w:val="2"/>
    </w:pPr>
    <w:rPr>
      <w:rFonts w:eastAsia="黑体"/>
      <w:b/>
      <w:kern w:val="0"/>
      <w:sz w:val="30"/>
      <w:szCs w:val="20"/>
    </w:rPr>
  </w:style>
  <w:style w:type="paragraph" w:styleId="6">
    <w:name w:val="heading 4"/>
    <w:basedOn w:val="1"/>
    <w:next w:val="1"/>
    <w:link w:val="52"/>
    <w:qFormat/>
    <w:locked/>
    <w:uiPriority w:val="0"/>
    <w:pPr>
      <w:keepNext/>
      <w:keepLines/>
      <w:spacing w:line="500" w:lineRule="exact"/>
      <w:outlineLvl w:val="3"/>
    </w:pPr>
  </w:style>
  <w:style w:type="paragraph" w:styleId="7">
    <w:name w:val="heading 5"/>
    <w:basedOn w:val="1"/>
    <w:next w:val="1"/>
    <w:link w:val="53"/>
    <w:qFormat/>
    <w:locked/>
    <w:uiPriority w:val="9"/>
    <w:pPr>
      <w:keepNext/>
      <w:keepLines/>
      <w:tabs>
        <w:tab w:val="left" w:pos="1008"/>
      </w:tabs>
      <w:adjustRightInd w:val="0"/>
      <w:snapToGrid w:val="0"/>
      <w:spacing w:before="280" w:after="290" w:line="376" w:lineRule="atLeast"/>
      <w:ind w:left="1008" w:hanging="1008"/>
      <w:outlineLvl w:val="4"/>
    </w:pPr>
    <w:rPr>
      <w:rFonts w:ascii="宋体"/>
      <w:b/>
      <w:bCs/>
      <w:sz w:val="28"/>
    </w:rPr>
  </w:style>
  <w:style w:type="paragraph" w:styleId="8">
    <w:name w:val="heading 6"/>
    <w:basedOn w:val="1"/>
    <w:next w:val="1"/>
    <w:link w:val="54"/>
    <w:qFormat/>
    <w:locked/>
    <w:uiPriority w:val="9"/>
    <w:pPr>
      <w:keepNext/>
      <w:keepLines/>
      <w:tabs>
        <w:tab w:val="left" w:pos="1152"/>
      </w:tabs>
      <w:adjustRightInd w:val="0"/>
      <w:snapToGrid w:val="0"/>
      <w:spacing w:before="240" w:after="64" w:line="320" w:lineRule="atLeast"/>
      <w:ind w:left="1152" w:hanging="1152"/>
      <w:outlineLvl w:val="5"/>
    </w:pPr>
    <w:rPr>
      <w:rFonts w:ascii="Arial" w:hAnsi="Arial" w:eastAsia="黑体"/>
      <w:b/>
      <w:bCs/>
      <w:sz w:val="28"/>
    </w:rPr>
  </w:style>
  <w:style w:type="paragraph" w:styleId="9">
    <w:name w:val="heading 7"/>
    <w:basedOn w:val="1"/>
    <w:next w:val="1"/>
    <w:link w:val="55"/>
    <w:qFormat/>
    <w:locked/>
    <w:uiPriority w:val="9"/>
    <w:pPr>
      <w:keepNext/>
      <w:keepLines/>
      <w:tabs>
        <w:tab w:val="left" w:pos="1296"/>
      </w:tabs>
      <w:adjustRightInd w:val="0"/>
      <w:snapToGrid w:val="0"/>
      <w:spacing w:before="240" w:after="64" w:line="320" w:lineRule="atLeast"/>
      <w:ind w:left="1296" w:hanging="1296"/>
      <w:outlineLvl w:val="6"/>
    </w:pPr>
    <w:rPr>
      <w:rFonts w:ascii="宋体"/>
      <w:b/>
      <w:bCs/>
      <w:sz w:val="28"/>
    </w:rPr>
  </w:style>
  <w:style w:type="paragraph" w:styleId="10">
    <w:name w:val="heading 8"/>
    <w:basedOn w:val="1"/>
    <w:next w:val="1"/>
    <w:link w:val="56"/>
    <w:qFormat/>
    <w:locked/>
    <w:uiPriority w:val="9"/>
    <w:pPr>
      <w:keepNext/>
      <w:keepLines/>
      <w:tabs>
        <w:tab w:val="left" w:pos="1440"/>
      </w:tabs>
      <w:adjustRightInd w:val="0"/>
      <w:snapToGrid w:val="0"/>
      <w:spacing w:before="240" w:after="64" w:line="320" w:lineRule="atLeast"/>
      <w:ind w:left="1440" w:hanging="1440"/>
      <w:outlineLvl w:val="7"/>
    </w:pPr>
    <w:rPr>
      <w:rFonts w:ascii="Arial" w:hAnsi="Arial" w:eastAsia="黑体"/>
      <w:sz w:val="28"/>
    </w:rPr>
  </w:style>
  <w:style w:type="paragraph" w:styleId="11">
    <w:name w:val="heading 9"/>
    <w:basedOn w:val="1"/>
    <w:next w:val="1"/>
    <w:link w:val="57"/>
    <w:qFormat/>
    <w:locked/>
    <w:uiPriority w:val="9"/>
    <w:pPr>
      <w:keepNext/>
      <w:keepLines/>
      <w:tabs>
        <w:tab w:val="left" w:pos="1584"/>
      </w:tabs>
      <w:adjustRightInd w:val="0"/>
      <w:snapToGrid w:val="0"/>
      <w:spacing w:before="240" w:after="64" w:line="320" w:lineRule="atLeast"/>
      <w:ind w:left="1584" w:hanging="1584"/>
      <w:outlineLvl w:val="8"/>
    </w:pPr>
    <w:rPr>
      <w:rFonts w:ascii="Arial" w:hAnsi="Arial" w:eastAsia="黑体"/>
      <w:szCs w:val="21"/>
    </w:r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4">
    <w:name w:val="Normal Indent"/>
    <w:basedOn w:val="1"/>
    <w:link w:val="50"/>
    <w:qFormat/>
    <w:locked/>
    <w:uiPriority w:val="0"/>
    <w:pPr>
      <w:adjustRightInd w:val="0"/>
      <w:snapToGrid w:val="0"/>
      <w:spacing w:before="156" w:beforeLines="50" w:after="156" w:afterLines="50" w:line="360" w:lineRule="auto"/>
      <w:ind w:firstLine="560" w:firstLineChars="200"/>
    </w:pPr>
    <w:rPr>
      <w:sz w:val="28"/>
    </w:rPr>
  </w:style>
  <w:style w:type="paragraph" w:styleId="12">
    <w:name w:val="Note Heading"/>
    <w:basedOn w:val="1"/>
    <w:next w:val="1"/>
    <w:link w:val="58"/>
    <w:qFormat/>
    <w:locked/>
    <w:uiPriority w:val="0"/>
    <w:pPr>
      <w:jc w:val="center"/>
    </w:pPr>
    <w:rPr>
      <w:szCs w:val="20"/>
    </w:rPr>
  </w:style>
  <w:style w:type="paragraph" w:styleId="13">
    <w:name w:val="caption"/>
    <w:basedOn w:val="1"/>
    <w:next w:val="1"/>
    <w:qFormat/>
    <w:locked/>
    <w:uiPriority w:val="0"/>
    <w:pPr>
      <w:spacing w:line="360" w:lineRule="auto"/>
      <w:jc w:val="center"/>
    </w:pPr>
    <w:rPr>
      <w:rFonts w:eastAsia="黑体"/>
      <w:sz w:val="24"/>
    </w:rPr>
  </w:style>
  <w:style w:type="paragraph" w:styleId="14">
    <w:name w:val="Document Map"/>
    <w:basedOn w:val="1"/>
    <w:link w:val="59"/>
    <w:qFormat/>
    <w:locked/>
    <w:uiPriority w:val="0"/>
    <w:pPr>
      <w:shd w:val="clear" w:color="auto" w:fill="000080"/>
    </w:pPr>
    <w:rPr>
      <w:kern w:val="0"/>
    </w:rPr>
  </w:style>
  <w:style w:type="paragraph" w:styleId="15">
    <w:name w:val="annotation text"/>
    <w:basedOn w:val="1"/>
    <w:link w:val="60"/>
    <w:qFormat/>
    <w:uiPriority w:val="99"/>
    <w:pPr>
      <w:jc w:val="left"/>
    </w:pPr>
    <w:rPr>
      <w:kern w:val="0"/>
      <w:sz w:val="24"/>
      <w:szCs w:val="20"/>
    </w:rPr>
  </w:style>
  <w:style w:type="paragraph" w:styleId="16">
    <w:name w:val="Body Text 3"/>
    <w:basedOn w:val="1"/>
    <w:link w:val="61"/>
    <w:qFormat/>
    <w:locked/>
    <w:uiPriority w:val="0"/>
    <w:pPr>
      <w:spacing w:line="600" w:lineRule="exact"/>
      <w:jc w:val="left"/>
    </w:pPr>
    <w:rPr>
      <w:b/>
      <w:bCs/>
      <w:sz w:val="28"/>
      <w:szCs w:val="20"/>
    </w:rPr>
  </w:style>
  <w:style w:type="paragraph" w:styleId="17">
    <w:name w:val="Body Text"/>
    <w:basedOn w:val="1"/>
    <w:link w:val="62"/>
    <w:qFormat/>
    <w:uiPriority w:val="99"/>
    <w:pPr>
      <w:widowControl/>
      <w:snapToGrid w:val="0"/>
      <w:spacing w:before="60" w:after="160" w:line="259" w:lineRule="auto"/>
      <w:ind w:right="113"/>
    </w:pPr>
    <w:rPr>
      <w:kern w:val="0"/>
      <w:sz w:val="18"/>
      <w:szCs w:val="20"/>
    </w:rPr>
  </w:style>
  <w:style w:type="paragraph" w:styleId="18">
    <w:name w:val="Body Text Indent"/>
    <w:basedOn w:val="1"/>
    <w:link w:val="63"/>
    <w:qFormat/>
    <w:uiPriority w:val="99"/>
    <w:pPr>
      <w:spacing w:after="120"/>
      <w:ind w:left="420" w:leftChars="200"/>
    </w:pPr>
    <w:rPr>
      <w:kern w:val="0"/>
      <w:sz w:val="24"/>
      <w:szCs w:val="20"/>
    </w:rPr>
  </w:style>
  <w:style w:type="paragraph" w:styleId="19">
    <w:name w:val="Block Text"/>
    <w:basedOn w:val="1"/>
    <w:qFormat/>
    <w:locked/>
    <w:uiPriority w:val="0"/>
    <w:pPr>
      <w:adjustRightInd w:val="0"/>
      <w:snapToGrid w:val="0"/>
      <w:spacing w:line="240" w:lineRule="atLeast"/>
      <w:ind w:left="-50" w:leftChars="-50" w:right="50" w:rightChars="50"/>
      <w:jc w:val="center"/>
    </w:pPr>
    <w:rPr>
      <w:w w:val="90"/>
    </w:rPr>
  </w:style>
  <w:style w:type="paragraph" w:styleId="20">
    <w:name w:val="Plain Text"/>
    <w:basedOn w:val="1"/>
    <w:next w:val="1"/>
    <w:link w:val="64"/>
    <w:qFormat/>
    <w:locked/>
    <w:uiPriority w:val="0"/>
    <w:rPr>
      <w:rFonts w:ascii="宋体" w:hAnsi="Courier New"/>
    </w:rPr>
  </w:style>
  <w:style w:type="paragraph" w:styleId="21">
    <w:name w:val="Date"/>
    <w:basedOn w:val="1"/>
    <w:next w:val="1"/>
    <w:link w:val="65"/>
    <w:qFormat/>
    <w:uiPriority w:val="0"/>
    <w:pPr>
      <w:ind w:left="100" w:leftChars="2500"/>
    </w:pPr>
    <w:rPr>
      <w:kern w:val="0"/>
      <w:sz w:val="24"/>
      <w:szCs w:val="20"/>
    </w:rPr>
  </w:style>
  <w:style w:type="paragraph" w:styleId="22">
    <w:name w:val="Body Text Indent 2"/>
    <w:basedOn w:val="1"/>
    <w:link w:val="66"/>
    <w:qFormat/>
    <w:locked/>
    <w:uiPriority w:val="99"/>
    <w:pPr>
      <w:spacing w:after="120" w:line="480" w:lineRule="auto"/>
      <w:ind w:left="420" w:leftChars="200"/>
    </w:pPr>
  </w:style>
  <w:style w:type="paragraph" w:styleId="23">
    <w:name w:val="Balloon Text"/>
    <w:basedOn w:val="1"/>
    <w:link w:val="67"/>
    <w:qFormat/>
    <w:uiPriority w:val="0"/>
    <w:rPr>
      <w:kern w:val="0"/>
      <w:sz w:val="18"/>
      <w:szCs w:val="20"/>
    </w:rPr>
  </w:style>
  <w:style w:type="paragraph" w:styleId="24">
    <w:name w:val="footer"/>
    <w:basedOn w:val="1"/>
    <w:link w:val="68"/>
    <w:qFormat/>
    <w:uiPriority w:val="99"/>
    <w:pPr>
      <w:tabs>
        <w:tab w:val="center" w:pos="4153"/>
        <w:tab w:val="right" w:pos="8306"/>
      </w:tabs>
      <w:snapToGrid w:val="0"/>
      <w:jc w:val="left"/>
    </w:pPr>
    <w:rPr>
      <w:kern w:val="0"/>
      <w:sz w:val="18"/>
      <w:szCs w:val="20"/>
    </w:rPr>
  </w:style>
  <w:style w:type="paragraph" w:styleId="25">
    <w:name w:val="header"/>
    <w:basedOn w:val="1"/>
    <w:link w:val="69"/>
    <w:qFormat/>
    <w:uiPriority w:val="0"/>
    <w:pPr>
      <w:pBdr>
        <w:bottom w:val="single" w:color="auto" w:sz="6" w:space="1"/>
      </w:pBdr>
      <w:tabs>
        <w:tab w:val="center" w:pos="4153"/>
        <w:tab w:val="right" w:pos="8306"/>
      </w:tabs>
      <w:snapToGrid w:val="0"/>
      <w:jc w:val="center"/>
    </w:pPr>
    <w:rPr>
      <w:kern w:val="0"/>
      <w:sz w:val="18"/>
      <w:szCs w:val="20"/>
    </w:rPr>
  </w:style>
  <w:style w:type="paragraph" w:styleId="26">
    <w:name w:val="toc 1"/>
    <w:basedOn w:val="1"/>
    <w:next w:val="1"/>
    <w:qFormat/>
    <w:locked/>
    <w:uiPriority w:val="0"/>
  </w:style>
  <w:style w:type="paragraph" w:styleId="27">
    <w:name w:val="Subtitle"/>
    <w:basedOn w:val="1"/>
    <w:link w:val="70"/>
    <w:qFormat/>
    <w:locked/>
    <w:uiPriority w:val="11"/>
    <w:pPr>
      <w:adjustRightInd w:val="0"/>
      <w:snapToGrid w:val="0"/>
      <w:spacing w:before="120" w:after="120" w:line="240" w:lineRule="atLeast"/>
      <w:jc w:val="center"/>
      <w:outlineLvl w:val="1"/>
    </w:pPr>
    <w:rPr>
      <w:rFonts w:eastAsia="黑体" w:cs="Arial"/>
      <w:bCs/>
      <w:kern w:val="28"/>
      <w:sz w:val="24"/>
      <w:szCs w:val="32"/>
    </w:rPr>
  </w:style>
  <w:style w:type="paragraph" w:styleId="28">
    <w:name w:val="List"/>
    <w:basedOn w:val="1"/>
    <w:qFormat/>
    <w:locked/>
    <w:uiPriority w:val="0"/>
    <w:pPr>
      <w:widowControl/>
      <w:spacing w:line="360" w:lineRule="auto"/>
    </w:pPr>
    <w:rPr>
      <w:rFonts w:ascii="宋体"/>
      <w:sz w:val="24"/>
      <w:szCs w:val="20"/>
    </w:rPr>
  </w:style>
  <w:style w:type="paragraph" w:styleId="29">
    <w:name w:val="Body Text Indent 3"/>
    <w:basedOn w:val="1"/>
    <w:link w:val="71"/>
    <w:qFormat/>
    <w:locked/>
    <w:uiPriority w:val="0"/>
    <w:pPr>
      <w:spacing w:after="120"/>
      <w:ind w:left="420" w:leftChars="200"/>
    </w:pPr>
    <w:rPr>
      <w:sz w:val="16"/>
      <w:szCs w:val="16"/>
    </w:rPr>
  </w:style>
  <w:style w:type="paragraph" w:styleId="30">
    <w:name w:val="table of figures"/>
    <w:basedOn w:val="1"/>
    <w:next w:val="1"/>
    <w:qFormat/>
    <w:locked/>
    <w:uiPriority w:val="0"/>
    <w:pPr>
      <w:ind w:left="200" w:leftChars="200" w:hanging="200" w:hangingChars="200"/>
    </w:pPr>
    <w:rPr>
      <w:kern w:val="0"/>
    </w:rPr>
  </w:style>
  <w:style w:type="paragraph" w:styleId="31">
    <w:name w:val="toc 2"/>
    <w:basedOn w:val="1"/>
    <w:next w:val="1"/>
    <w:qFormat/>
    <w:locked/>
    <w:uiPriority w:val="0"/>
    <w:pPr>
      <w:ind w:left="420" w:leftChars="200"/>
    </w:pPr>
  </w:style>
  <w:style w:type="paragraph" w:styleId="32">
    <w:name w:val="Body Text 2"/>
    <w:basedOn w:val="1"/>
    <w:link w:val="72"/>
    <w:qFormat/>
    <w:locked/>
    <w:uiPriority w:val="0"/>
    <w:pPr>
      <w:spacing w:before="240" w:line="400" w:lineRule="exact"/>
    </w:pPr>
    <w:rPr>
      <w:rFonts w:ascii="仿宋_GB2312" w:eastAsia="仿宋_GB2312"/>
      <w:spacing w:val="-20"/>
      <w:kern w:val="0"/>
      <w:sz w:val="32"/>
    </w:rPr>
  </w:style>
  <w:style w:type="paragraph" w:styleId="33">
    <w:name w:val="HTML Preformatted"/>
    <w:basedOn w:val="1"/>
    <w:link w:val="7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4">
    <w:name w:val="Normal (Web)"/>
    <w:basedOn w:val="1"/>
    <w:link w:val="74"/>
    <w:qFormat/>
    <w:uiPriority w:val="0"/>
    <w:pPr>
      <w:widowControl/>
      <w:spacing w:before="100" w:beforeAutospacing="1" w:after="100" w:afterAutospacing="1"/>
      <w:jc w:val="left"/>
    </w:pPr>
    <w:rPr>
      <w:rFonts w:ascii="宋体" w:hAnsi="宋体"/>
      <w:kern w:val="0"/>
      <w:sz w:val="24"/>
      <w:szCs w:val="20"/>
    </w:rPr>
  </w:style>
  <w:style w:type="paragraph" w:styleId="35">
    <w:name w:val="index 1"/>
    <w:basedOn w:val="1"/>
    <w:next w:val="1"/>
    <w:qFormat/>
    <w:locked/>
    <w:uiPriority w:val="0"/>
    <w:pPr>
      <w:snapToGrid w:val="0"/>
      <w:jc w:val="center"/>
    </w:pPr>
    <w:rPr>
      <w:rFonts w:ascii="仿宋_GB2312" w:eastAsia="仿宋_GB2312"/>
      <w:bCs/>
      <w:szCs w:val="21"/>
    </w:rPr>
  </w:style>
  <w:style w:type="paragraph" w:styleId="36">
    <w:name w:val="Title"/>
    <w:basedOn w:val="1"/>
    <w:next w:val="1"/>
    <w:link w:val="75"/>
    <w:qFormat/>
    <w:locked/>
    <w:uiPriority w:val="10"/>
    <w:pPr>
      <w:widowControl/>
      <w:spacing w:before="240" w:after="60"/>
      <w:jc w:val="center"/>
      <w:outlineLvl w:val="0"/>
    </w:pPr>
    <w:rPr>
      <w:rFonts w:ascii="Cambria" w:hAnsi="Cambria"/>
      <w:b/>
      <w:bCs/>
      <w:kern w:val="28"/>
      <w:sz w:val="32"/>
      <w:szCs w:val="32"/>
    </w:rPr>
  </w:style>
  <w:style w:type="paragraph" w:styleId="37">
    <w:name w:val="annotation subject"/>
    <w:basedOn w:val="15"/>
    <w:next w:val="15"/>
    <w:link w:val="76"/>
    <w:qFormat/>
    <w:uiPriority w:val="0"/>
    <w:rPr>
      <w:b/>
    </w:rPr>
  </w:style>
  <w:style w:type="paragraph" w:styleId="38">
    <w:name w:val="Body Text First Indent"/>
    <w:basedOn w:val="17"/>
    <w:link w:val="77"/>
    <w:qFormat/>
    <w:locked/>
    <w:uiPriority w:val="0"/>
    <w:pPr>
      <w:widowControl w:val="0"/>
      <w:snapToGrid/>
      <w:spacing w:before="0" w:after="120" w:line="240" w:lineRule="auto"/>
      <w:ind w:right="0" w:firstLine="420" w:firstLineChars="100"/>
    </w:pPr>
    <w:rPr>
      <w:sz w:val="21"/>
    </w:rPr>
  </w:style>
  <w:style w:type="table" w:styleId="40">
    <w:name w:val="Table Grid"/>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locked/>
    <w:uiPriority w:val="22"/>
    <w:rPr>
      <w:b/>
      <w:bCs/>
    </w:rPr>
  </w:style>
  <w:style w:type="character" w:styleId="43">
    <w:name w:val="page number"/>
    <w:qFormat/>
    <w:locked/>
    <w:uiPriority w:val="0"/>
  </w:style>
  <w:style w:type="character" w:styleId="44">
    <w:name w:val="FollowedHyperlink"/>
    <w:qFormat/>
    <w:locked/>
    <w:uiPriority w:val="99"/>
    <w:rPr>
      <w:color w:val="800080"/>
      <w:u w:val="single"/>
    </w:rPr>
  </w:style>
  <w:style w:type="character" w:styleId="45">
    <w:name w:val="Emphasis"/>
    <w:qFormat/>
    <w:locked/>
    <w:uiPriority w:val="20"/>
    <w:rPr>
      <w:i/>
      <w:iCs/>
    </w:rPr>
  </w:style>
  <w:style w:type="character" w:styleId="46">
    <w:name w:val="Hyperlink"/>
    <w:qFormat/>
    <w:locked/>
    <w:uiPriority w:val="0"/>
    <w:rPr>
      <w:color w:val="0000FF"/>
      <w:u w:val="single"/>
    </w:rPr>
  </w:style>
  <w:style w:type="character" w:styleId="47">
    <w:name w:val="annotation reference"/>
    <w:qFormat/>
    <w:uiPriority w:val="99"/>
    <w:rPr>
      <w:sz w:val="21"/>
    </w:rPr>
  </w:style>
  <w:style w:type="character" w:customStyle="1" w:styleId="48">
    <w:name w:val="标题 1 字符4"/>
    <w:link w:val="2"/>
    <w:qFormat/>
    <w:uiPriority w:val="0"/>
    <w:rPr>
      <w:rFonts w:eastAsia="黑体"/>
      <w:b/>
      <w:bCs/>
      <w:color w:val="000000"/>
      <w:kern w:val="44"/>
      <w:sz w:val="30"/>
      <w:szCs w:val="30"/>
    </w:rPr>
  </w:style>
  <w:style w:type="character" w:customStyle="1" w:styleId="49">
    <w:name w:val="标题 2 字符3"/>
    <w:link w:val="3"/>
    <w:qFormat/>
    <w:uiPriority w:val="0"/>
    <w:rPr>
      <w:rFonts w:eastAsia="黑体"/>
      <w:kern w:val="2"/>
      <w:sz w:val="28"/>
      <w:szCs w:val="28"/>
    </w:rPr>
  </w:style>
  <w:style w:type="character" w:customStyle="1" w:styleId="50">
    <w:name w:val="正文缩进 字符3"/>
    <w:link w:val="4"/>
    <w:qFormat/>
    <w:uiPriority w:val="0"/>
    <w:rPr>
      <w:kern w:val="2"/>
      <w:sz w:val="28"/>
      <w:szCs w:val="24"/>
    </w:rPr>
  </w:style>
  <w:style w:type="character" w:customStyle="1" w:styleId="51">
    <w:name w:val="标题 3 字符4"/>
    <w:link w:val="5"/>
    <w:qFormat/>
    <w:uiPriority w:val="0"/>
    <w:rPr>
      <w:rFonts w:eastAsia="黑体"/>
      <w:b/>
      <w:sz w:val="30"/>
    </w:rPr>
  </w:style>
  <w:style w:type="character" w:customStyle="1" w:styleId="52">
    <w:name w:val="标题 4 字符4"/>
    <w:link w:val="6"/>
    <w:qFormat/>
    <w:uiPriority w:val="0"/>
    <w:rPr>
      <w:kern w:val="2"/>
      <w:sz w:val="21"/>
      <w:szCs w:val="24"/>
    </w:rPr>
  </w:style>
  <w:style w:type="character" w:customStyle="1" w:styleId="53">
    <w:name w:val="标题 5 字符4"/>
    <w:link w:val="7"/>
    <w:qFormat/>
    <w:uiPriority w:val="9"/>
    <w:rPr>
      <w:rFonts w:ascii="宋体"/>
      <w:b/>
      <w:bCs/>
      <w:kern w:val="2"/>
      <w:sz w:val="28"/>
      <w:szCs w:val="24"/>
    </w:rPr>
  </w:style>
  <w:style w:type="character" w:customStyle="1" w:styleId="54">
    <w:name w:val="标题 6 字符4"/>
    <w:link w:val="8"/>
    <w:qFormat/>
    <w:uiPriority w:val="9"/>
    <w:rPr>
      <w:rFonts w:ascii="Arial" w:hAnsi="Arial" w:eastAsia="黑体"/>
      <w:b/>
      <w:bCs/>
      <w:kern w:val="2"/>
      <w:sz w:val="28"/>
      <w:szCs w:val="24"/>
    </w:rPr>
  </w:style>
  <w:style w:type="character" w:customStyle="1" w:styleId="55">
    <w:name w:val="标题 7 字符4"/>
    <w:link w:val="9"/>
    <w:qFormat/>
    <w:uiPriority w:val="9"/>
    <w:rPr>
      <w:rFonts w:ascii="宋体"/>
      <w:b/>
      <w:bCs/>
      <w:kern w:val="2"/>
      <w:sz w:val="28"/>
      <w:szCs w:val="24"/>
    </w:rPr>
  </w:style>
  <w:style w:type="character" w:customStyle="1" w:styleId="56">
    <w:name w:val="标题 8 字符4"/>
    <w:link w:val="10"/>
    <w:qFormat/>
    <w:uiPriority w:val="9"/>
    <w:rPr>
      <w:rFonts w:ascii="Arial" w:hAnsi="Arial" w:eastAsia="黑体"/>
      <w:kern w:val="2"/>
      <w:sz w:val="28"/>
      <w:szCs w:val="24"/>
    </w:rPr>
  </w:style>
  <w:style w:type="character" w:customStyle="1" w:styleId="57">
    <w:name w:val="标题 9 字符4"/>
    <w:link w:val="11"/>
    <w:qFormat/>
    <w:uiPriority w:val="9"/>
    <w:rPr>
      <w:rFonts w:ascii="Arial" w:hAnsi="Arial" w:eastAsia="黑体"/>
      <w:kern w:val="2"/>
      <w:sz w:val="21"/>
      <w:szCs w:val="21"/>
    </w:rPr>
  </w:style>
  <w:style w:type="character" w:customStyle="1" w:styleId="58">
    <w:name w:val="注释标题 字符3"/>
    <w:link w:val="12"/>
    <w:qFormat/>
    <w:uiPriority w:val="0"/>
    <w:rPr>
      <w:kern w:val="2"/>
      <w:sz w:val="21"/>
    </w:rPr>
  </w:style>
  <w:style w:type="character" w:customStyle="1" w:styleId="59">
    <w:name w:val="文档结构图 字符5"/>
    <w:link w:val="14"/>
    <w:qFormat/>
    <w:uiPriority w:val="0"/>
    <w:rPr>
      <w:sz w:val="21"/>
      <w:szCs w:val="24"/>
      <w:shd w:val="clear" w:color="auto" w:fill="000080"/>
    </w:rPr>
  </w:style>
  <w:style w:type="character" w:customStyle="1" w:styleId="60">
    <w:name w:val="批注文字 字符"/>
    <w:link w:val="15"/>
    <w:qFormat/>
    <w:locked/>
    <w:uiPriority w:val="99"/>
    <w:rPr>
      <w:rFonts w:ascii="Times New Roman" w:hAnsi="Times New Roman" w:eastAsia="宋体"/>
      <w:sz w:val="24"/>
    </w:rPr>
  </w:style>
  <w:style w:type="character" w:customStyle="1" w:styleId="61">
    <w:name w:val="正文文本 3 字符4"/>
    <w:link w:val="16"/>
    <w:qFormat/>
    <w:uiPriority w:val="0"/>
    <w:rPr>
      <w:b/>
      <w:bCs/>
      <w:kern w:val="2"/>
      <w:sz w:val="28"/>
    </w:rPr>
  </w:style>
  <w:style w:type="character" w:customStyle="1" w:styleId="62">
    <w:name w:val="正文文本 字符"/>
    <w:link w:val="17"/>
    <w:qFormat/>
    <w:locked/>
    <w:uiPriority w:val="99"/>
    <w:rPr>
      <w:sz w:val="18"/>
    </w:rPr>
  </w:style>
  <w:style w:type="character" w:customStyle="1" w:styleId="63">
    <w:name w:val="正文文本缩进 字符"/>
    <w:link w:val="18"/>
    <w:qFormat/>
    <w:locked/>
    <w:uiPriority w:val="99"/>
    <w:rPr>
      <w:rFonts w:ascii="Times New Roman" w:hAnsi="Times New Roman" w:eastAsia="宋体"/>
      <w:sz w:val="24"/>
    </w:rPr>
  </w:style>
  <w:style w:type="character" w:customStyle="1" w:styleId="64">
    <w:name w:val="纯文本 字符5"/>
    <w:link w:val="20"/>
    <w:qFormat/>
    <w:uiPriority w:val="0"/>
    <w:rPr>
      <w:rFonts w:ascii="宋体" w:hAnsi="Courier New"/>
      <w:kern w:val="2"/>
      <w:sz w:val="21"/>
      <w:szCs w:val="24"/>
    </w:rPr>
  </w:style>
  <w:style w:type="character" w:customStyle="1" w:styleId="65">
    <w:name w:val="日期 字符1"/>
    <w:link w:val="21"/>
    <w:qFormat/>
    <w:locked/>
    <w:uiPriority w:val="0"/>
    <w:rPr>
      <w:rFonts w:ascii="Times New Roman" w:hAnsi="Times New Roman" w:eastAsia="宋体"/>
      <w:sz w:val="24"/>
    </w:rPr>
  </w:style>
  <w:style w:type="character" w:customStyle="1" w:styleId="66">
    <w:name w:val="正文文本缩进 2 字符3"/>
    <w:link w:val="22"/>
    <w:qFormat/>
    <w:uiPriority w:val="99"/>
    <w:rPr>
      <w:kern w:val="2"/>
      <w:sz w:val="21"/>
      <w:szCs w:val="24"/>
    </w:rPr>
  </w:style>
  <w:style w:type="character" w:customStyle="1" w:styleId="67">
    <w:name w:val="批注框文本 字符"/>
    <w:link w:val="23"/>
    <w:qFormat/>
    <w:locked/>
    <w:uiPriority w:val="0"/>
    <w:rPr>
      <w:rFonts w:ascii="Times New Roman" w:hAnsi="Times New Roman" w:eastAsia="宋体"/>
      <w:sz w:val="18"/>
    </w:rPr>
  </w:style>
  <w:style w:type="character" w:customStyle="1" w:styleId="68">
    <w:name w:val="页脚 字符1"/>
    <w:link w:val="24"/>
    <w:qFormat/>
    <w:locked/>
    <w:uiPriority w:val="99"/>
    <w:rPr>
      <w:sz w:val="18"/>
    </w:rPr>
  </w:style>
  <w:style w:type="character" w:customStyle="1" w:styleId="69">
    <w:name w:val="页眉 字符"/>
    <w:link w:val="25"/>
    <w:qFormat/>
    <w:locked/>
    <w:uiPriority w:val="99"/>
    <w:rPr>
      <w:sz w:val="18"/>
    </w:rPr>
  </w:style>
  <w:style w:type="character" w:customStyle="1" w:styleId="70">
    <w:name w:val="副标题 字符5"/>
    <w:link w:val="27"/>
    <w:qFormat/>
    <w:uiPriority w:val="11"/>
    <w:rPr>
      <w:rFonts w:eastAsia="黑体" w:cs="Arial"/>
      <w:bCs/>
      <w:kern w:val="28"/>
      <w:sz w:val="24"/>
      <w:szCs w:val="32"/>
    </w:rPr>
  </w:style>
  <w:style w:type="character" w:customStyle="1" w:styleId="71">
    <w:name w:val="正文文本缩进 3 字符5"/>
    <w:link w:val="29"/>
    <w:qFormat/>
    <w:uiPriority w:val="0"/>
    <w:rPr>
      <w:kern w:val="2"/>
      <w:sz w:val="16"/>
      <w:szCs w:val="16"/>
    </w:rPr>
  </w:style>
  <w:style w:type="character" w:customStyle="1" w:styleId="72">
    <w:name w:val="正文文本 2 字符4"/>
    <w:link w:val="32"/>
    <w:qFormat/>
    <w:uiPriority w:val="0"/>
    <w:rPr>
      <w:rFonts w:ascii="仿宋_GB2312" w:eastAsia="仿宋_GB2312"/>
      <w:spacing w:val="-20"/>
      <w:sz w:val="32"/>
      <w:szCs w:val="24"/>
    </w:rPr>
  </w:style>
  <w:style w:type="character" w:customStyle="1" w:styleId="73">
    <w:name w:val="HTML 预设格式 字符6"/>
    <w:link w:val="33"/>
    <w:qFormat/>
    <w:uiPriority w:val="99"/>
    <w:rPr>
      <w:rFonts w:ascii="Arial" w:hAnsi="Arial" w:cs="Arial"/>
      <w:sz w:val="24"/>
      <w:szCs w:val="24"/>
    </w:rPr>
  </w:style>
  <w:style w:type="character" w:customStyle="1" w:styleId="74">
    <w:name w:val="普通(网站) 字符"/>
    <w:link w:val="34"/>
    <w:qFormat/>
    <w:locked/>
    <w:uiPriority w:val="0"/>
    <w:rPr>
      <w:rFonts w:ascii="宋体" w:hAnsi="宋体" w:eastAsia="宋体"/>
      <w:sz w:val="24"/>
    </w:rPr>
  </w:style>
  <w:style w:type="character" w:customStyle="1" w:styleId="75">
    <w:name w:val="标题 字符4"/>
    <w:link w:val="36"/>
    <w:qFormat/>
    <w:uiPriority w:val="10"/>
    <w:rPr>
      <w:rFonts w:ascii="Cambria" w:hAnsi="Cambria"/>
      <w:b/>
      <w:bCs/>
      <w:kern w:val="28"/>
      <w:sz w:val="32"/>
      <w:szCs w:val="32"/>
    </w:rPr>
  </w:style>
  <w:style w:type="character" w:customStyle="1" w:styleId="76">
    <w:name w:val="批注主题 字符"/>
    <w:link w:val="37"/>
    <w:qFormat/>
    <w:locked/>
    <w:uiPriority w:val="0"/>
    <w:rPr>
      <w:rFonts w:ascii="Times New Roman" w:hAnsi="Times New Roman" w:eastAsia="宋体"/>
      <w:b/>
      <w:kern w:val="2"/>
      <w:sz w:val="24"/>
    </w:rPr>
  </w:style>
  <w:style w:type="character" w:customStyle="1" w:styleId="77">
    <w:name w:val="正文文本首行缩进 字符4"/>
    <w:link w:val="38"/>
    <w:qFormat/>
    <w:uiPriority w:val="0"/>
    <w:rPr>
      <w:sz w:val="21"/>
    </w:rPr>
  </w:style>
  <w:style w:type="character" w:customStyle="1" w:styleId="78">
    <w:name w:val="正文文本首行缩进 字符1"/>
    <w:qFormat/>
    <w:uiPriority w:val="0"/>
    <w:rPr>
      <w:kern w:val="2"/>
      <w:sz w:val="21"/>
      <w:szCs w:val="24"/>
    </w:rPr>
  </w:style>
  <w:style w:type="character" w:customStyle="1" w:styleId="79">
    <w:name w:val="日期 字符"/>
    <w:semiHidden/>
    <w:qFormat/>
    <w:uiPriority w:val="99"/>
    <w:rPr>
      <w:rFonts w:ascii="Times New Roman" w:hAnsi="Times New Roman" w:eastAsia="宋体"/>
      <w:sz w:val="24"/>
    </w:rPr>
  </w:style>
  <w:style w:type="character" w:customStyle="1" w:styleId="80">
    <w:name w:val="表格 Char"/>
    <w:link w:val="81"/>
    <w:qFormat/>
    <w:locked/>
    <w:uiPriority w:val="0"/>
    <w:rPr>
      <w:rFonts w:ascii="宋体"/>
      <w:sz w:val="21"/>
    </w:rPr>
  </w:style>
  <w:style w:type="paragraph" w:customStyle="1" w:styleId="81">
    <w:name w:val="表格"/>
    <w:basedOn w:val="1"/>
    <w:next w:val="1"/>
    <w:link w:val="80"/>
    <w:qFormat/>
    <w:uiPriority w:val="0"/>
    <w:pPr>
      <w:adjustRightInd w:val="0"/>
      <w:snapToGrid w:val="0"/>
      <w:spacing w:beforeLines="10" w:afterLines="10" w:line="259" w:lineRule="auto"/>
      <w:jc w:val="center"/>
    </w:pPr>
    <w:rPr>
      <w:rFonts w:ascii="宋体"/>
      <w:kern w:val="0"/>
      <w:szCs w:val="20"/>
    </w:rPr>
  </w:style>
  <w:style w:type="character" w:customStyle="1" w:styleId="82">
    <w:name w:val="批注文字 字符1"/>
    <w:qFormat/>
    <w:uiPriority w:val="0"/>
    <w:rPr>
      <w:rFonts w:ascii="Times New Roman" w:hAnsi="Times New Roman" w:eastAsia="宋体"/>
      <w:sz w:val="24"/>
    </w:rPr>
  </w:style>
  <w:style w:type="character" w:customStyle="1" w:styleId="83">
    <w:name w:val="正文文本 字符1"/>
    <w:qFormat/>
    <w:uiPriority w:val="0"/>
    <w:rPr>
      <w:rFonts w:ascii="Times New Roman" w:hAnsi="Times New Roman" w:eastAsia="宋体"/>
      <w:sz w:val="24"/>
    </w:rPr>
  </w:style>
  <w:style w:type="character" w:customStyle="1" w:styleId="84">
    <w:name w:val="页脚 字符"/>
    <w:qFormat/>
    <w:uiPriority w:val="99"/>
  </w:style>
  <w:style w:type="paragraph" w:customStyle="1" w:styleId="8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87">
    <w:name w:val="样式 表格"/>
    <w:basedOn w:val="1"/>
    <w:qFormat/>
    <w:uiPriority w:val="0"/>
    <w:pPr>
      <w:jc w:val="center"/>
    </w:pPr>
  </w:style>
  <w:style w:type="character" w:customStyle="1" w:styleId="88">
    <w:name w:val="正文文本缩进 2 字符"/>
    <w:qFormat/>
    <w:uiPriority w:val="99"/>
    <w:rPr>
      <w:kern w:val="2"/>
      <w:sz w:val="21"/>
      <w:szCs w:val="24"/>
    </w:rPr>
  </w:style>
  <w:style w:type="paragraph" w:customStyle="1" w:styleId="89">
    <w:name w:val="表格首行"/>
    <w:next w:val="1"/>
    <w:qFormat/>
    <w:uiPriority w:val="0"/>
    <w:pPr>
      <w:jc w:val="center"/>
    </w:pPr>
    <w:rPr>
      <w:rFonts w:ascii="Times New Roman" w:hAnsi="Times New Roman" w:eastAsia="仿宋" w:cs="Times New Roman"/>
      <w:b/>
      <w:kern w:val="2"/>
      <w:sz w:val="21"/>
      <w:szCs w:val="24"/>
      <w:lang w:val="en-US" w:eastAsia="zh-CN" w:bidi="ar-SA"/>
    </w:rPr>
  </w:style>
  <w:style w:type="paragraph" w:customStyle="1" w:styleId="90">
    <w:name w:val="合同格式"/>
    <w:basedOn w:val="1"/>
    <w:qFormat/>
    <w:uiPriority w:val="0"/>
    <w:pPr>
      <w:widowControl/>
      <w:overflowPunct w:val="0"/>
      <w:autoSpaceDE w:val="0"/>
      <w:autoSpaceDN w:val="0"/>
      <w:adjustRightInd w:val="0"/>
      <w:jc w:val="left"/>
      <w:textAlignment w:val="baseline"/>
    </w:pPr>
    <w:rPr>
      <w:rFonts w:ascii="Arial" w:hAnsi="Arial"/>
      <w:kern w:val="0"/>
      <w:sz w:val="20"/>
      <w:szCs w:val="20"/>
    </w:rPr>
  </w:style>
  <w:style w:type="paragraph" w:customStyle="1" w:styleId="91">
    <w:name w:val="Char"/>
    <w:basedOn w:val="1"/>
    <w:qFormat/>
    <w:uiPriority w:val="0"/>
    <w:pPr>
      <w:spacing w:line="360" w:lineRule="auto"/>
      <w:ind w:firstLine="200" w:firstLineChars="200"/>
    </w:pPr>
    <w:rPr>
      <w:rFonts w:ascii="宋体" w:hAnsi="宋体" w:cs="宋体"/>
      <w:sz w:val="24"/>
    </w:rPr>
  </w:style>
  <w:style w:type="character" w:customStyle="1" w:styleId="92">
    <w:name w:val="纯文本 字符"/>
    <w:qFormat/>
    <w:uiPriority w:val="0"/>
    <w:rPr>
      <w:rFonts w:ascii="宋体" w:hAnsi="Courier New" w:cs="Courier New"/>
      <w:kern w:val="2"/>
      <w:sz w:val="21"/>
      <w:szCs w:val="21"/>
    </w:rPr>
  </w:style>
  <w:style w:type="character" w:customStyle="1" w:styleId="93">
    <w:name w:val="标题 2 字符"/>
    <w:semiHidden/>
    <w:qFormat/>
    <w:uiPriority w:val="9"/>
    <w:rPr>
      <w:rFonts w:ascii="等线 Light" w:hAnsi="等线 Light" w:eastAsia="等线 Light" w:cs="Times New Roman"/>
      <w:b/>
      <w:bCs/>
      <w:kern w:val="2"/>
      <w:sz w:val="32"/>
      <w:szCs w:val="32"/>
    </w:rPr>
  </w:style>
  <w:style w:type="character" w:customStyle="1" w:styleId="94">
    <w:name w:val="标题 3 字符"/>
    <w:semiHidden/>
    <w:qFormat/>
    <w:uiPriority w:val="9"/>
    <w:rPr>
      <w:b/>
      <w:bCs/>
      <w:kern w:val="2"/>
      <w:sz w:val="32"/>
      <w:szCs w:val="32"/>
    </w:rPr>
  </w:style>
  <w:style w:type="character" w:customStyle="1" w:styleId="95">
    <w:name w:val="标题 4 字符"/>
    <w:semiHidden/>
    <w:qFormat/>
    <w:uiPriority w:val="0"/>
    <w:rPr>
      <w:rFonts w:ascii="等线 Light" w:hAnsi="等线 Light" w:eastAsia="等线 Light" w:cs="Times New Roman"/>
      <w:b/>
      <w:bCs/>
      <w:kern w:val="2"/>
      <w:sz w:val="28"/>
      <w:szCs w:val="28"/>
    </w:rPr>
  </w:style>
  <w:style w:type="character" w:customStyle="1" w:styleId="96">
    <w:name w:val="标题 5 字符"/>
    <w:semiHidden/>
    <w:qFormat/>
    <w:uiPriority w:val="9"/>
    <w:rPr>
      <w:b/>
      <w:bCs/>
      <w:kern w:val="2"/>
      <w:sz w:val="28"/>
      <w:szCs w:val="28"/>
    </w:rPr>
  </w:style>
  <w:style w:type="character" w:customStyle="1" w:styleId="97">
    <w:name w:val="标题 6 字符"/>
    <w:semiHidden/>
    <w:qFormat/>
    <w:uiPriority w:val="9"/>
    <w:rPr>
      <w:rFonts w:ascii="等线 Light" w:hAnsi="等线 Light" w:eastAsia="等线 Light" w:cs="Times New Roman"/>
      <w:b/>
      <w:bCs/>
      <w:kern w:val="2"/>
      <w:sz w:val="24"/>
      <w:szCs w:val="24"/>
    </w:rPr>
  </w:style>
  <w:style w:type="character" w:customStyle="1" w:styleId="98">
    <w:name w:val="标题 7 字符"/>
    <w:semiHidden/>
    <w:qFormat/>
    <w:uiPriority w:val="9"/>
    <w:rPr>
      <w:b/>
      <w:bCs/>
      <w:kern w:val="2"/>
      <w:sz w:val="24"/>
      <w:szCs w:val="24"/>
    </w:rPr>
  </w:style>
  <w:style w:type="character" w:customStyle="1" w:styleId="99">
    <w:name w:val="标题 8 字符"/>
    <w:semiHidden/>
    <w:qFormat/>
    <w:uiPriority w:val="9"/>
    <w:rPr>
      <w:rFonts w:ascii="等线 Light" w:hAnsi="等线 Light" w:eastAsia="等线 Light" w:cs="Times New Roman"/>
      <w:kern w:val="2"/>
      <w:sz w:val="24"/>
      <w:szCs w:val="24"/>
    </w:rPr>
  </w:style>
  <w:style w:type="character" w:customStyle="1" w:styleId="100">
    <w:name w:val="标题 9 字符"/>
    <w:semiHidden/>
    <w:qFormat/>
    <w:uiPriority w:val="9"/>
    <w:rPr>
      <w:rFonts w:ascii="等线 Light" w:hAnsi="等线 Light" w:eastAsia="等线 Light" w:cs="Times New Roman"/>
      <w:kern w:val="2"/>
      <w:sz w:val="21"/>
      <w:szCs w:val="21"/>
    </w:rPr>
  </w:style>
  <w:style w:type="character" w:customStyle="1" w:styleId="101">
    <w:name w:val="副标题 字符"/>
    <w:qFormat/>
    <w:uiPriority w:val="11"/>
    <w:rPr>
      <w:rFonts w:ascii="等线 Light" w:hAnsi="等线 Light" w:cs="Times New Roman"/>
      <w:b/>
      <w:bCs/>
      <w:kern w:val="28"/>
      <w:sz w:val="32"/>
      <w:szCs w:val="32"/>
    </w:rPr>
  </w:style>
  <w:style w:type="character" w:customStyle="1" w:styleId="102">
    <w:name w:val="3zw"/>
    <w:qFormat/>
    <w:uiPriority w:val="0"/>
  </w:style>
  <w:style w:type="character" w:customStyle="1" w:styleId="103">
    <w:name w:val="报告表 段 Char Char"/>
    <w:qFormat/>
    <w:uiPriority w:val="0"/>
    <w:rPr>
      <w:rFonts w:ascii="宋体" w:eastAsia="宋体"/>
      <w:bCs/>
      <w:kern w:val="2"/>
      <w:sz w:val="24"/>
      <w:lang w:val="en-US" w:eastAsia="zh-CN" w:bidi="ar-SA"/>
    </w:rPr>
  </w:style>
  <w:style w:type="character" w:customStyle="1" w:styleId="104">
    <w:name w:val="日期 Char"/>
    <w:qFormat/>
    <w:locked/>
    <w:uiPriority w:val="0"/>
    <w:rPr>
      <w:rFonts w:ascii="Times New Roman" w:hAnsi="Times New Roman" w:eastAsia="宋体"/>
      <w:sz w:val="24"/>
    </w:rPr>
  </w:style>
  <w:style w:type="character" w:customStyle="1" w:styleId="105">
    <w:name w:val="表格 Char Char"/>
    <w:qFormat/>
    <w:locked/>
    <w:uiPriority w:val="0"/>
    <w:rPr>
      <w:sz w:val="21"/>
    </w:rPr>
  </w:style>
  <w:style w:type="character" w:customStyle="1" w:styleId="106">
    <w:name w:val="fontstyle11"/>
    <w:qFormat/>
    <w:uiPriority w:val="0"/>
    <w:rPr>
      <w:rFonts w:hint="eastAsia" w:ascii="宋体" w:hAnsi="宋体" w:eastAsia="宋体"/>
      <w:color w:val="000000"/>
      <w:sz w:val="24"/>
      <w:szCs w:val="24"/>
    </w:rPr>
  </w:style>
  <w:style w:type="character" w:customStyle="1" w:styleId="107">
    <w:name w:val="明显引用 字符4"/>
    <w:link w:val="108"/>
    <w:qFormat/>
    <w:uiPriority w:val="30"/>
    <w:rPr>
      <w:b/>
      <w:i/>
      <w:sz w:val="24"/>
    </w:rPr>
  </w:style>
  <w:style w:type="paragraph" w:styleId="108">
    <w:name w:val="Intense Quote"/>
    <w:basedOn w:val="1"/>
    <w:next w:val="1"/>
    <w:link w:val="107"/>
    <w:qFormat/>
    <w:uiPriority w:val="30"/>
    <w:pPr>
      <w:widowControl/>
      <w:ind w:left="720" w:right="720"/>
      <w:jc w:val="left"/>
    </w:pPr>
    <w:rPr>
      <w:b/>
      <w:i/>
      <w:kern w:val="0"/>
      <w:sz w:val="24"/>
      <w:szCs w:val="20"/>
    </w:rPr>
  </w:style>
  <w:style w:type="character" w:customStyle="1" w:styleId="109">
    <w:name w:val="正文28磅 Char"/>
    <w:link w:val="110"/>
    <w:qFormat/>
    <w:uiPriority w:val="0"/>
    <w:rPr>
      <w:color w:val="000000"/>
      <w:sz w:val="28"/>
      <w:u w:color="000000"/>
    </w:rPr>
  </w:style>
  <w:style w:type="paragraph" w:customStyle="1" w:styleId="110">
    <w:name w:val="正文28磅"/>
    <w:basedOn w:val="1"/>
    <w:link w:val="109"/>
    <w:qFormat/>
    <w:uiPriority w:val="0"/>
    <w:pPr>
      <w:widowControl/>
      <w:spacing w:line="850" w:lineRule="atLeast"/>
      <w:ind w:firstLine="561"/>
      <w:textAlignment w:val="baseline"/>
    </w:pPr>
    <w:rPr>
      <w:color w:val="000000"/>
      <w:kern w:val="0"/>
      <w:sz w:val="28"/>
      <w:szCs w:val="20"/>
      <w:u w:color="000000"/>
    </w:rPr>
  </w:style>
  <w:style w:type="character" w:customStyle="1" w:styleId="111">
    <w:name w:val="标题 Char1"/>
    <w:qFormat/>
    <w:uiPriority w:val="0"/>
    <w:rPr>
      <w:rFonts w:ascii="Calibri Light" w:hAnsi="Calibri Light" w:cs="Times New Roman"/>
      <w:b/>
      <w:bCs/>
      <w:kern w:val="2"/>
      <w:sz w:val="32"/>
      <w:szCs w:val="32"/>
    </w:rPr>
  </w:style>
  <w:style w:type="character" w:customStyle="1" w:styleId="112">
    <w:name w:val="HTML 预设格式 字符2"/>
    <w:qFormat/>
    <w:uiPriority w:val="99"/>
    <w:rPr>
      <w:rFonts w:ascii="Arial" w:hAnsi="Arial" w:cs="Arial"/>
      <w:sz w:val="21"/>
      <w:szCs w:val="21"/>
    </w:rPr>
  </w:style>
  <w:style w:type="character" w:customStyle="1" w:styleId="113">
    <w:name w:val="表内 Char"/>
    <w:link w:val="114"/>
    <w:qFormat/>
    <w:uiPriority w:val="0"/>
    <w:rPr>
      <w:rFonts w:ascii="宋体" w:hAnsi="宋体"/>
      <w:bCs/>
      <w:sz w:val="21"/>
      <w:szCs w:val="21"/>
    </w:rPr>
  </w:style>
  <w:style w:type="paragraph" w:customStyle="1" w:styleId="114">
    <w:name w:val="表内"/>
    <w:basedOn w:val="1"/>
    <w:link w:val="113"/>
    <w:qFormat/>
    <w:uiPriority w:val="0"/>
    <w:pPr>
      <w:adjustRightInd w:val="0"/>
      <w:snapToGrid w:val="0"/>
      <w:ind w:left="15" w:leftChars="-43" w:hanging="105" w:hangingChars="50"/>
      <w:jc w:val="center"/>
    </w:pPr>
    <w:rPr>
      <w:rFonts w:ascii="宋体" w:hAnsi="宋体"/>
      <w:bCs/>
      <w:kern w:val="0"/>
      <w:szCs w:val="21"/>
    </w:rPr>
  </w:style>
  <w:style w:type="character" w:customStyle="1" w:styleId="115">
    <w:name w:val="引用 字符"/>
    <w:qFormat/>
    <w:uiPriority w:val="29"/>
    <w:rPr>
      <w:rFonts w:ascii="宋体" w:hAnsi="宋体" w:cs="宋体"/>
      <w:i/>
      <w:iCs/>
      <w:color w:val="404040"/>
      <w:kern w:val="2"/>
      <w:sz w:val="21"/>
      <w:szCs w:val="24"/>
    </w:rPr>
  </w:style>
  <w:style w:type="character" w:customStyle="1" w:styleId="116">
    <w:name w:val="正文文本 3 字符"/>
    <w:qFormat/>
    <w:uiPriority w:val="0"/>
    <w:rPr>
      <w:kern w:val="2"/>
      <w:sz w:val="16"/>
      <w:szCs w:val="16"/>
    </w:rPr>
  </w:style>
  <w:style w:type="character" w:customStyle="1" w:styleId="117">
    <w:name w:val="不明显强调1"/>
    <w:qFormat/>
    <w:uiPriority w:val="19"/>
    <w:rPr>
      <w:i/>
      <w:color w:val="5A5A5A"/>
    </w:rPr>
  </w:style>
  <w:style w:type="character" w:customStyle="1" w:styleId="118">
    <w:name w:val="标题 字符"/>
    <w:qFormat/>
    <w:uiPriority w:val="10"/>
    <w:rPr>
      <w:rFonts w:ascii="等线 Light" w:hAnsi="等线 Light" w:cs="Times New Roman"/>
      <w:b/>
      <w:bCs/>
      <w:kern w:val="2"/>
      <w:sz w:val="32"/>
      <w:szCs w:val="32"/>
    </w:rPr>
  </w:style>
  <w:style w:type="character" w:customStyle="1" w:styleId="119">
    <w:name w:val="纯文本 字符2"/>
    <w:qFormat/>
    <w:uiPriority w:val="0"/>
    <w:rPr>
      <w:rFonts w:ascii="宋体" w:hAnsi="Courier New" w:eastAsia="宋体" w:cs="宋体"/>
      <w:kern w:val="2"/>
      <w:sz w:val="21"/>
      <w:szCs w:val="24"/>
      <w:lang w:val="en-US" w:eastAsia="zh-CN" w:bidi="ar-SA"/>
    </w:rPr>
  </w:style>
  <w:style w:type="character" w:customStyle="1" w:styleId="120">
    <w:name w:val="Char Char1 Char"/>
    <w:link w:val="121"/>
    <w:qFormat/>
    <w:uiPriority w:val="0"/>
    <w:rPr>
      <w:rFonts w:ascii="宋体" w:hAnsi="宋体" w:cs="宋体"/>
      <w:sz w:val="24"/>
      <w:szCs w:val="24"/>
    </w:rPr>
  </w:style>
  <w:style w:type="paragraph" w:customStyle="1" w:styleId="121">
    <w:name w:val="Char Char1"/>
    <w:basedOn w:val="1"/>
    <w:link w:val="120"/>
    <w:qFormat/>
    <w:uiPriority w:val="0"/>
    <w:pPr>
      <w:spacing w:line="360" w:lineRule="auto"/>
      <w:ind w:firstLine="200" w:firstLineChars="200"/>
    </w:pPr>
    <w:rPr>
      <w:rFonts w:ascii="宋体" w:hAnsi="宋体" w:cs="宋体"/>
      <w:kern w:val="0"/>
      <w:sz w:val="24"/>
    </w:rPr>
  </w:style>
  <w:style w:type="character" w:customStyle="1" w:styleId="122">
    <w:name w:val="我的正文 Char"/>
    <w:link w:val="123"/>
    <w:qFormat/>
    <w:uiPriority w:val="0"/>
    <w:rPr>
      <w:kern w:val="2"/>
      <w:sz w:val="24"/>
      <w:szCs w:val="24"/>
    </w:rPr>
  </w:style>
  <w:style w:type="paragraph" w:customStyle="1" w:styleId="123">
    <w:name w:val="我的正文"/>
    <w:basedOn w:val="1"/>
    <w:link w:val="122"/>
    <w:qFormat/>
    <w:uiPriority w:val="0"/>
    <w:pPr>
      <w:widowControl/>
      <w:spacing w:line="460" w:lineRule="exact"/>
      <w:ind w:firstLine="482"/>
      <w:jc w:val="left"/>
    </w:pPr>
    <w:rPr>
      <w:sz w:val="24"/>
    </w:rPr>
  </w:style>
  <w:style w:type="character" w:customStyle="1" w:styleId="124">
    <w:name w:val="正文缩进 字符"/>
    <w:qFormat/>
    <w:uiPriority w:val="0"/>
    <w:rPr>
      <w:kern w:val="2"/>
      <w:sz w:val="28"/>
      <w:szCs w:val="24"/>
    </w:rPr>
  </w:style>
  <w:style w:type="character" w:customStyle="1" w:styleId="125">
    <w:name w:val="真宗兴正文 Char"/>
    <w:link w:val="126"/>
    <w:qFormat/>
    <w:uiPriority w:val="0"/>
    <w:rPr>
      <w:kern w:val="2"/>
      <w:sz w:val="24"/>
    </w:rPr>
  </w:style>
  <w:style w:type="paragraph" w:customStyle="1" w:styleId="126">
    <w:name w:val="真宗兴正文"/>
    <w:basedOn w:val="1"/>
    <w:link w:val="125"/>
    <w:qFormat/>
    <w:uiPriority w:val="0"/>
    <w:pPr>
      <w:overflowPunct w:val="0"/>
      <w:autoSpaceDE w:val="0"/>
      <w:autoSpaceDN w:val="0"/>
      <w:adjustRightInd w:val="0"/>
      <w:snapToGrid w:val="0"/>
      <w:spacing w:before="93" w:beforeLines="30" w:after="93" w:afterLines="30" w:line="360" w:lineRule="auto"/>
      <w:ind w:firstLine="480" w:firstLineChars="200"/>
      <w:textAlignment w:val="baseline"/>
    </w:pPr>
    <w:rPr>
      <w:sz w:val="24"/>
      <w:szCs w:val="20"/>
    </w:rPr>
  </w:style>
  <w:style w:type="character" w:customStyle="1" w:styleId="127">
    <w:name w:val="样式 首行缩进001 Char"/>
    <w:link w:val="128"/>
    <w:qFormat/>
    <w:uiPriority w:val="0"/>
    <w:rPr>
      <w:rFonts w:cs="宋体"/>
      <w:kern w:val="2"/>
      <w:sz w:val="24"/>
    </w:rPr>
  </w:style>
  <w:style w:type="paragraph" w:customStyle="1" w:styleId="128">
    <w:name w:val="样式 首行缩进001"/>
    <w:basedOn w:val="1"/>
    <w:link w:val="127"/>
    <w:qFormat/>
    <w:uiPriority w:val="0"/>
    <w:pPr>
      <w:spacing w:line="560" w:lineRule="exact"/>
      <w:ind w:firstLine="480" w:firstLineChars="200"/>
    </w:pPr>
    <w:rPr>
      <w:rFonts w:cs="宋体"/>
      <w:sz w:val="24"/>
      <w:szCs w:val="20"/>
    </w:rPr>
  </w:style>
  <w:style w:type="character" w:customStyle="1" w:styleId="129">
    <w:name w:val="内容 Char"/>
    <w:link w:val="130"/>
    <w:qFormat/>
    <w:uiPriority w:val="0"/>
    <w:rPr>
      <w:kern w:val="2"/>
      <w:sz w:val="24"/>
    </w:rPr>
  </w:style>
  <w:style w:type="paragraph" w:customStyle="1" w:styleId="130">
    <w:name w:val="内容"/>
    <w:basedOn w:val="1"/>
    <w:link w:val="129"/>
    <w:qFormat/>
    <w:uiPriority w:val="0"/>
    <w:pPr>
      <w:spacing w:line="360" w:lineRule="auto"/>
      <w:ind w:firstLine="480" w:firstLineChars="200"/>
    </w:pPr>
    <w:rPr>
      <w:sz w:val="24"/>
      <w:szCs w:val="20"/>
    </w:rPr>
  </w:style>
  <w:style w:type="character" w:customStyle="1" w:styleId="131">
    <w:name w:val="3级标题 Char Char"/>
    <w:link w:val="132"/>
    <w:qFormat/>
    <w:uiPriority w:val="0"/>
    <w:rPr>
      <w:rFonts w:ascii="Calibri" w:hAnsi="Calibri"/>
      <w:b/>
      <w:bCs/>
      <w:kern w:val="2"/>
      <w:sz w:val="24"/>
      <w:szCs w:val="24"/>
    </w:rPr>
  </w:style>
  <w:style w:type="paragraph" w:customStyle="1" w:styleId="132">
    <w:name w:val="3级标题"/>
    <w:basedOn w:val="5"/>
    <w:next w:val="1"/>
    <w:link w:val="131"/>
    <w:qFormat/>
    <w:uiPriority w:val="0"/>
    <w:pPr>
      <w:adjustRightInd/>
      <w:snapToGrid/>
      <w:spacing w:before="120" w:after="120" w:line="400" w:lineRule="exact"/>
      <w:jc w:val="both"/>
      <w:textAlignment w:val="auto"/>
    </w:pPr>
    <w:rPr>
      <w:rFonts w:ascii="Calibri" w:hAnsi="Calibri" w:eastAsia="宋体"/>
      <w:bCs/>
      <w:kern w:val="2"/>
      <w:sz w:val="24"/>
      <w:szCs w:val="24"/>
    </w:rPr>
  </w:style>
  <w:style w:type="character" w:customStyle="1" w:styleId="133">
    <w:name w:val="style51"/>
    <w:qFormat/>
    <w:uiPriority w:val="0"/>
    <w:rPr>
      <w:rFonts w:ascii="宋体" w:hAnsi="宋体" w:cs="宋体"/>
      <w:b/>
      <w:bCs/>
      <w:color w:val="228CD5"/>
      <w:sz w:val="33"/>
      <w:szCs w:val="33"/>
    </w:rPr>
  </w:style>
  <w:style w:type="character" w:customStyle="1" w:styleId="134">
    <w:name w:val="正文文本缩进 Char"/>
    <w:qFormat/>
    <w:locked/>
    <w:uiPriority w:val="0"/>
    <w:rPr>
      <w:rFonts w:ascii="Times New Roman" w:hAnsi="Times New Roman" w:eastAsia="宋体"/>
      <w:sz w:val="24"/>
    </w:rPr>
  </w:style>
  <w:style w:type="character" w:customStyle="1" w:styleId="135">
    <w:name w:val="fs"/>
    <w:qFormat/>
    <w:uiPriority w:val="0"/>
  </w:style>
  <w:style w:type="character" w:customStyle="1" w:styleId="136">
    <w:name w:val="zlf正文 Char"/>
    <w:link w:val="137"/>
    <w:qFormat/>
    <w:locked/>
    <w:uiPriority w:val="0"/>
    <w:rPr>
      <w:rFonts w:ascii="宋体" w:hAnsi="宋体" w:cs="宋体"/>
      <w:kern w:val="2"/>
      <w:sz w:val="24"/>
    </w:rPr>
  </w:style>
  <w:style w:type="paragraph" w:customStyle="1" w:styleId="137">
    <w:name w:val="zlf正文"/>
    <w:basedOn w:val="1"/>
    <w:link w:val="136"/>
    <w:qFormat/>
    <w:uiPriority w:val="0"/>
    <w:pPr>
      <w:spacing w:line="360" w:lineRule="auto"/>
      <w:ind w:firstLine="200" w:firstLineChars="200"/>
    </w:pPr>
    <w:rPr>
      <w:rFonts w:ascii="宋体" w:hAnsi="宋体" w:cs="宋体"/>
      <w:sz w:val="24"/>
      <w:szCs w:val="20"/>
    </w:rPr>
  </w:style>
  <w:style w:type="character" w:customStyle="1" w:styleId="138">
    <w:name w:val="表内样式 Char"/>
    <w:link w:val="139"/>
    <w:qFormat/>
    <w:uiPriority w:val="0"/>
    <w:rPr>
      <w:kern w:val="2"/>
      <w:sz w:val="21"/>
      <w:szCs w:val="21"/>
    </w:rPr>
  </w:style>
  <w:style w:type="paragraph" w:customStyle="1" w:styleId="139">
    <w:name w:val="表内样式"/>
    <w:basedOn w:val="1"/>
    <w:link w:val="138"/>
    <w:qFormat/>
    <w:uiPriority w:val="0"/>
    <w:pPr>
      <w:adjustRightInd w:val="0"/>
      <w:snapToGrid w:val="0"/>
      <w:spacing w:line="360" w:lineRule="auto"/>
      <w:ind w:firstLine="200" w:firstLineChars="200"/>
      <w:jc w:val="center"/>
    </w:pPr>
    <w:rPr>
      <w:szCs w:val="21"/>
    </w:rPr>
  </w:style>
  <w:style w:type="character" w:customStyle="1" w:styleId="140">
    <w:name w:val="z正文 Char"/>
    <w:link w:val="141"/>
    <w:qFormat/>
    <w:uiPriority w:val="0"/>
    <w:rPr>
      <w:rFonts w:cs="宋体"/>
      <w:sz w:val="24"/>
    </w:rPr>
  </w:style>
  <w:style w:type="paragraph" w:customStyle="1" w:styleId="141">
    <w:name w:val="z正文"/>
    <w:basedOn w:val="1"/>
    <w:link w:val="140"/>
    <w:qFormat/>
    <w:uiPriority w:val="0"/>
    <w:pPr>
      <w:spacing w:line="360" w:lineRule="auto"/>
      <w:ind w:firstLine="200" w:firstLineChars="200"/>
    </w:pPr>
    <w:rPr>
      <w:rFonts w:cs="宋体"/>
      <w:kern w:val="0"/>
      <w:sz w:val="24"/>
      <w:szCs w:val="20"/>
    </w:rPr>
  </w:style>
  <w:style w:type="character" w:customStyle="1" w:styleId="142">
    <w:name w:val="副标题 Char1"/>
    <w:qFormat/>
    <w:uiPriority w:val="0"/>
    <w:rPr>
      <w:rFonts w:ascii="Cambria" w:hAnsi="Cambria" w:eastAsia="宋体" w:cs="Times New Roman"/>
      <w:b/>
      <w:bCs/>
      <w:kern w:val="28"/>
      <w:sz w:val="32"/>
      <w:szCs w:val="32"/>
    </w:rPr>
  </w:style>
  <w:style w:type="character" w:customStyle="1" w:styleId="143">
    <w:name w:val="表格标题 Char"/>
    <w:link w:val="144"/>
    <w:qFormat/>
    <w:uiPriority w:val="0"/>
    <w:rPr>
      <w:rFonts w:ascii="宋体"/>
      <w:kern w:val="2"/>
      <w:sz w:val="24"/>
    </w:rPr>
  </w:style>
  <w:style w:type="paragraph" w:customStyle="1" w:styleId="144">
    <w:name w:val="表格标题"/>
    <w:basedOn w:val="1"/>
    <w:link w:val="143"/>
    <w:qFormat/>
    <w:uiPriority w:val="0"/>
    <w:pPr>
      <w:widowControl/>
      <w:spacing w:before="120" w:line="360" w:lineRule="auto"/>
      <w:jc w:val="center"/>
    </w:pPr>
    <w:rPr>
      <w:rFonts w:ascii="宋体"/>
      <w:sz w:val="24"/>
      <w:szCs w:val="20"/>
    </w:rPr>
  </w:style>
  <w:style w:type="character" w:customStyle="1" w:styleId="145">
    <w:name w:val="表格内容5号 Char"/>
    <w:link w:val="146"/>
    <w:qFormat/>
    <w:uiPriority w:val="0"/>
    <w:rPr>
      <w:kern w:val="2"/>
      <w:sz w:val="21"/>
      <w:szCs w:val="24"/>
    </w:rPr>
  </w:style>
  <w:style w:type="paragraph" w:customStyle="1" w:styleId="146">
    <w:name w:val="表格内容5号"/>
    <w:link w:val="145"/>
    <w:qFormat/>
    <w:uiPriority w:val="0"/>
    <w:pPr>
      <w:widowControl w:val="0"/>
      <w:snapToGrid w:val="0"/>
      <w:spacing w:line="240" w:lineRule="atLeast"/>
      <w:jc w:val="center"/>
    </w:pPr>
    <w:rPr>
      <w:rFonts w:ascii="Times New Roman" w:hAnsi="Times New Roman" w:eastAsia="宋体" w:cs="Times New Roman"/>
      <w:kern w:val="2"/>
      <w:sz w:val="21"/>
      <w:szCs w:val="24"/>
      <w:lang w:val="en-US" w:eastAsia="zh-CN" w:bidi="ar-SA"/>
    </w:rPr>
  </w:style>
  <w:style w:type="character" w:customStyle="1" w:styleId="147">
    <w:name w:val="环科院正文 Char Char Char"/>
    <w:link w:val="148"/>
    <w:qFormat/>
    <w:uiPriority w:val="0"/>
    <w:rPr>
      <w:rFonts w:eastAsia="仿宋_GB2312"/>
      <w:bCs/>
      <w:kern w:val="2"/>
      <w:sz w:val="24"/>
    </w:rPr>
  </w:style>
  <w:style w:type="paragraph" w:customStyle="1" w:styleId="148">
    <w:name w:val="环科院正文 Char Char"/>
    <w:basedOn w:val="1"/>
    <w:link w:val="147"/>
    <w:qFormat/>
    <w:uiPriority w:val="0"/>
    <w:pPr>
      <w:spacing w:line="360" w:lineRule="auto"/>
      <w:ind w:firstLine="432" w:firstLineChars="180"/>
    </w:pPr>
    <w:rPr>
      <w:rFonts w:eastAsia="仿宋_GB2312"/>
      <w:bCs/>
      <w:sz w:val="24"/>
      <w:szCs w:val="20"/>
    </w:rPr>
  </w:style>
  <w:style w:type="character" w:customStyle="1" w:styleId="149">
    <w:name w:val="表头 Char1"/>
    <w:qFormat/>
    <w:uiPriority w:val="0"/>
    <w:rPr>
      <w:rFonts w:ascii="宋体" w:hAnsi="宋体" w:cs="宋体"/>
      <w:b/>
      <w:kern w:val="22"/>
      <w:sz w:val="24"/>
    </w:rPr>
  </w:style>
  <w:style w:type="character" w:customStyle="1" w:styleId="150">
    <w:name w:val="明显参考1"/>
    <w:qFormat/>
    <w:uiPriority w:val="32"/>
    <w:rPr>
      <w:b/>
      <w:sz w:val="24"/>
      <w:u w:val="single"/>
    </w:rPr>
  </w:style>
  <w:style w:type="character" w:customStyle="1" w:styleId="151">
    <w:name w:val="纯文本 Char1 Char"/>
    <w:qFormat/>
    <w:uiPriority w:val="0"/>
    <w:rPr>
      <w:rFonts w:ascii="宋体" w:hAnsi="Courier New" w:eastAsia="宋体" w:cs="宋体"/>
      <w:kern w:val="2"/>
      <w:sz w:val="21"/>
      <w:szCs w:val="24"/>
      <w:lang w:val="en-US" w:eastAsia="zh-CN" w:bidi="ar-SA"/>
    </w:rPr>
  </w:style>
  <w:style w:type="character" w:customStyle="1" w:styleId="152">
    <w:name w:val="正文文字 Char Char"/>
    <w:link w:val="153"/>
    <w:qFormat/>
    <w:uiPriority w:val="0"/>
    <w:rPr>
      <w:kern w:val="2"/>
      <w:sz w:val="24"/>
    </w:rPr>
  </w:style>
  <w:style w:type="paragraph" w:customStyle="1" w:styleId="153">
    <w:name w:val="正文文字"/>
    <w:basedOn w:val="1"/>
    <w:link w:val="152"/>
    <w:qFormat/>
    <w:uiPriority w:val="0"/>
    <w:pPr>
      <w:spacing w:line="560" w:lineRule="exact"/>
      <w:ind w:firstLine="200" w:firstLineChars="200"/>
    </w:pPr>
    <w:rPr>
      <w:sz w:val="24"/>
      <w:szCs w:val="20"/>
    </w:rPr>
  </w:style>
  <w:style w:type="character" w:customStyle="1" w:styleId="154">
    <w:name w:val="Body text (2) + Bold"/>
    <w:qFormat/>
    <w:uiPriority w:val="0"/>
    <w:rPr>
      <w:rFonts w:ascii="MingLiU" w:hAnsi="MingLiU" w:eastAsia="MingLiU" w:cs="MingLiU"/>
      <w:b/>
      <w:bCs/>
      <w:color w:val="000000"/>
      <w:spacing w:val="0"/>
      <w:w w:val="100"/>
      <w:position w:val="0"/>
      <w:sz w:val="46"/>
      <w:szCs w:val="46"/>
      <w:shd w:val="clear" w:color="auto" w:fill="FFFFFF"/>
      <w:lang w:val="zh-CN" w:eastAsia="zh-CN" w:bidi="zh-CN"/>
    </w:rPr>
  </w:style>
  <w:style w:type="character" w:customStyle="1" w:styleId="155">
    <w:name w:val="yb"/>
    <w:qFormat/>
    <w:uiPriority w:val="0"/>
  </w:style>
  <w:style w:type="character" w:customStyle="1" w:styleId="156">
    <w:name w:val="明显引用 Char"/>
    <w:qFormat/>
    <w:uiPriority w:val="30"/>
    <w:rPr>
      <w:rFonts w:ascii="Times New Roman" w:hAnsi="Times New Roman" w:eastAsia="宋体"/>
      <w:b/>
      <w:bCs/>
      <w:i/>
      <w:iCs/>
      <w:color w:val="4F81BD"/>
      <w:kern w:val="2"/>
      <w:sz w:val="21"/>
      <w:szCs w:val="24"/>
    </w:rPr>
  </w:style>
  <w:style w:type="character" w:customStyle="1" w:styleId="157">
    <w:name w:val="主体 Char"/>
    <w:link w:val="158"/>
    <w:qFormat/>
    <w:uiPriority w:val="0"/>
    <w:rPr>
      <w:rFonts w:eastAsia="仿宋_GB2312"/>
      <w:bCs/>
      <w:kern w:val="2"/>
      <w:sz w:val="24"/>
      <w:szCs w:val="24"/>
    </w:rPr>
  </w:style>
  <w:style w:type="paragraph" w:customStyle="1" w:styleId="158">
    <w:name w:val="主体"/>
    <w:link w:val="157"/>
    <w:qFormat/>
    <w:uiPriority w:val="0"/>
    <w:pPr>
      <w:widowControl w:val="0"/>
      <w:autoSpaceDE w:val="0"/>
      <w:autoSpaceDN w:val="0"/>
      <w:spacing w:line="440" w:lineRule="exact"/>
      <w:ind w:firstLine="480" w:firstLineChars="200"/>
      <w:jc w:val="both"/>
    </w:pPr>
    <w:rPr>
      <w:rFonts w:ascii="Times New Roman" w:hAnsi="Times New Roman" w:eastAsia="仿宋_GB2312" w:cs="Times New Roman"/>
      <w:bCs/>
      <w:kern w:val="2"/>
      <w:sz w:val="24"/>
      <w:szCs w:val="24"/>
      <w:lang w:val="en-US" w:eastAsia="zh-CN" w:bidi="ar-SA"/>
    </w:rPr>
  </w:style>
  <w:style w:type="character" w:customStyle="1" w:styleId="159">
    <w:name w:val="font31"/>
    <w:qFormat/>
    <w:uiPriority w:val="0"/>
    <w:rPr>
      <w:rFonts w:hint="default" w:ascii="Times New Roman" w:hAnsi="Times New Roman" w:cs="Times New Roman"/>
      <w:color w:val="000000"/>
      <w:sz w:val="21"/>
      <w:szCs w:val="21"/>
      <w:u w:val="none"/>
    </w:rPr>
  </w:style>
  <w:style w:type="character" w:customStyle="1" w:styleId="160">
    <w:name w:val="宗兴正文 Char"/>
    <w:link w:val="161"/>
    <w:qFormat/>
    <w:uiPriority w:val="0"/>
    <w:rPr>
      <w:kern w:val="2"/>
      <w:sz w:val="24"/>
      <w:szCs w:val="24"/>
    </w:rPr>
  </w:style>
  <w:style w:type="paragraph" w:customStyle="1" w:styleId="161">
    <w:name w:val="宗兴正文"/>
    <w:basedOn w:val="1"/>
    <w:link w:val="160"/>
    <w:qFormat/>
    <w:uiPriority w:val="0"/>
    <w:pPr>
      <w:spacing w:before="93" w:after="93" w:line="360" w:lineRule="auto"/>
      <w:ind w:firstLine="480" w:firstLineChars="200"/>
      <w:jc w:val="left"/>
    </w:pPr>
    <w:rPr>
      <w:sz w:val="24"/>
    </w:rPr>
  </w:style>
  <w:style w:type="character" w:customStyle="1" w:styleId="162">
    <w:name w:val="引用 Char"/>
    <w:qFormat/>
    <w:uiPriority w:val="29"/>
    <w:rPr>
      <w:rFonts w:ascii="Times New Roman" w:hAnsi="Times New Roman" w:eastAsia="宋体"/>
      <w:i/>
      <w:iCs/>
      <w:color w:val="000000"/>
      <w:kern w:val="2"/>
      <w:sz w:val="21"/>
      <w:szCs w:val="24"/>
    </w:rPr>
  </w:style>
  <w:style w:type="character" w:customStyle="1" w:styleId="163">
    <w:name w:val="君邦正文 Char1"/>
    <w:link w:val="164"/>
    <w:qFormat/>
    <w:uiPriority w:val="0"/>
    <w:rPr>
      <w:kern w:val="2"/>
      <w:sz w:val="24"/>
    </w:rPr>
  </w:style>
  <w:style w:type="paragraph" w:customStyle="1" w:styleId="164">
    <w:name w:val="君邦正文"/>
    <w:basedOn w:val="1"/>
    <w:link w:val="163"/>
    <w:qFormat/>
    <w:uiPriority w:val="0"/>
    <w:pPr>
      <w:spacing w:after="60" w:line="360" w:lineRule="auto"/>
      <w:ind w:firstLine="200" w:firstLineChars="200"/>
    </w:pPr>
    <w:rPr>
      <w:sz w:val="24"/>
      <w:szCs w:val="20"/>
    </w:rPr>
  </w:style>
  <w:style w:type="character" w:customStyle="1" w:styleId="165">
    <w:name w:val="页眉 Char"/>
    <w:qFormat/>
    <w:locked/>
    <w:uiPriority w:val="0"/>
    <w:rPr>
      <w:sz w:val="18"/>
    </w:rPr>
  </w:style>
  <w:style w:type="character" w:customStyle="1" w:styleId="166">
    <w:name w:val="纯文本 字符1"/>
    <w:semiHidden/>
    <w:qFormat/>
    <w:uiPriority w:val="99"/>
    <w:rPr>
      <w:rFonts w:ascii="等线" w:hAnsi="Courier New" w:cs="Courier New"/>
      <w:szCs w:val="24"/>
    </w:rPr>
  </w:style>
  <w:style w:type="character" w:customStyle="1" w:styleId="167">
    <w:name w:val="font51"/>
    <w:qFormat/>
    <w:uiPriority w:val="0"/>
    <w:rPr>
      <w:rFonts w:hint="eastAsia" w:ascii="宋体" w:hAnsi="宋体" w:eastAsia="宋体" w:cs="宋体"/>
      <w:b/>
      <w:color w:val="000000"/>
      <w:sz w:val="21"/>
      <w:szCs w:val="21"/>
      <w:u w:val="none"/>
    </w:rPr>
  </w:style>
  <w:style w:type="character" w:customStyle="1" w:styleId="168">
    <w:name w:val="yqlink"/>
    <w:qFormat/>
    <w:uiPriority w:val="0"/>
  </w:style>
  <w:style w:type="character" w:customStyle="1" w:styleId="169">
    <w:name w:val="正文1 Char Char"/>
    <w:link w:val="170"/>
    <w:qFormat/>
    <w:uiPriority w:val="0"/>
    <w:rPr>
      <w:kern w:val="2"/>
      <w:sz w:val="28"/>
      <w:szCs w:val="24"/>
    </w:rPr>
  </w:style>
  <w:style w:type="paragraph" w:customStyle="1" w:styleId="170">
    <w:name w:val="正文1"/>
    <w:basedOn w:val="1"/>
    <w:link w:val="169"/>
    <w:qFormat/>
    <w:uiPriority w:val="0"/>
    <w:pPr>
      <w:adjustRightInd w:val="0"/>
      <w:snapToGrid w:val="0"/>
      <w:spacing w:line="500" w:lineRule="atLeast"/>
      <w:ind w:firstLine="567"/>
    </w:pPr>
    <w:rPr>
      <w:sz w:val="28"/>
    </w:rPr>
  </w:style>
  <w:style w:type="character" w:customStyle="1" w:styleId="171">
    <w:name w:val="文档结构图 字符1"/>
    <w:qFormat/>
    <w:uiPriority w:val="0"/>
    <w:rPr>
      <w:rFonts w:ascii="宋体"/>
      <w:sz w:val="18"/>
      <w:szCs w:val="18"/>
    </w:rPr>
  </w:style>
  <w:style w:type="character" w:customStyle="1" w:styleId="172">
    <w:name w:val="Char Char2"/>
    <w:qFormat/>
    <w:locked/>
    <w:uiPriority w:val="0"/>
    <w:rPr>
      <w:rFonts w:ascii="宋体" w:hAnsi="宋体" w:eastAsia="宋体"/>
      <w:kern w:val="2"/>
      <w:sz w:val="18"/>
      <w:szCs w:val="18"/>
      <w:lang w:val="en-US" w:eastAsia="zh-CN" w:bidi="ar-SA"/>
    </w:rPr>
  </w:style>
  <w:style w:type="character" w:customStyle="1" w:styleId="173">
    <w:name w:val="报告表格 Char"/>
    <w:link w:val="174"/>
    <w:qFormat/>
    <w:uiPriority w:val="0"/>
    <w:rPr>
      <w:sz w:val="21"/>
    </w:rPr>
  </w:style>
  <w:style w:type="paragraph" w:customStyle="1" w:styleId="174">
    <w:name w:val="报告表格"/>
    <w:basedOn w:val="1"/>
    <w:link w:val="173"/>
    <w:qFormat/>
    <w:uiPriority w:val="0"/>
    <w:pPr>
      <w:autoSpaceDE w:val="0"/>
      <w:autoSpaceDN w:val="0"/>
      <w:adjustRightInd w:val="0"/>
      <w:spacing w:before="40" w:after="40"/>
      <w:jc w:val="center"/>
      <w:textAlignment w:val="bottom"/>
    </w:pPr>
    <w:rPr>
      <w:kern w:val="0"/>
      <w:szCs w:val="20"/>
    </w:rPr>
  </w:style>
  <w:style w:type="character" w:customStyle="1" w:styleId="175">
    <w:name w:val="fontstyle01"/>
    <w:qFormat/>
    <w:uiPriority w:val="0"/>
    <w:rPr>
      <w:rFonts w:ascii="宋体" w:hAnsi="宋体" w:eastAsia="宋体" w:cs="宋体"/>
      <w:color w:val="000000"/>
      <w:sz w:val="24"/>
      <w:szCs w:val="24"/>
    </w:rPr>
  </w:style>
  <w:style w:type="character" w:customStyle="1" w:styleId="176">
    <w:name w:val="正文 首行缩进:  2 字符 Char"/>
    <w:link w:val="177"/>
    <w:qFormat/>
    <w:uiPriority w:val="0"/>
    <w:rPr>
      <w:rFonts w:cs="宋体"/>
      <w:kern w:val="2"/>
      <w:sz w:val="24"/>
    </w:rPr>
  </w:style>
  <w:style w:type="paragraph" w:customStyle="1" w:styleId="177">
    <w:name w:val="正文 首行缩进:  2 字符"/>
    <w:basedOn w:val="1"/>
    <w:link w:val="176"/>
    <w:qFormat/>
    <w:uiPriority w:val="0"/>
    <w:pPr>
      <w:spacing w:line="360" w:lineRule="auto"/>
      <w:ind w:firstLine="480" w:firstLineChars="200"/>
    </w:pPr>
    <w:rPr>
      <w:rFonts w:cs="宋体"/>
      <w:sz w:val="24"/>
      <w:szCs w:val="20"/>
    </w:rPr>
  </w:style>
  <w:style w:type="character" w:customStyle="1" w:styleId="178">
    <w:name w:val="标题 5 字符1"/>
    <w:qFormat/>
    <w:uiPriority w:val="9"/>
    <w:rPr>
      <w:rFonts w:ascii="宋体"/>
      <w:b/>
      <w:spacing w:val="-14"/>
      <w:kern w:val="2"/>
      <w:sz w:val="28"/>
      <w:szCs w:val="24"/>
    </w:rPr>
  </w:style>
  <w:style w:type="character" w:customStyle="1" w:styleId="179">
    <w:name w:val="表格字体 Char"/>
    <w:link w:val="180"/>
    <w:qFormat/>
    <w:uiPriority w:val="0"/>
    <w:rPr>
      <w:kern w:val="2"/>
      <w:sz w:val="21"/>
      <w:szCs w:val="21"/>
    </w:rPr>
  </w:style>
  <w:style w:type="paragraph" w:customStyle="1" w:styleId="180">
    <w:name w:val="表格字体"/>
    <w:basedOn w:val="1"/>
    <w:link w:val="179"/>
    <w:qFormat/>
    <w:uiPriority w:val="0"/>
    <w:pPr>
      <w:adjustRightInd w:val="0"/>
      <w:spacing w:before="62" w:beforeLines="20" w:after="62" w:afterLines="20"/>
      <w:jc w:val="center"/>
      <w:textAlignment w:val="center"/>
    </w:pPr>
    <w:rPr>
      <w:szCs w:val="21"/>
    </w:rPr>
  </w:style>
  <w:style w:type="character" w:customStyle="1" w:styleId="181">
    <w:name w:val="表格文字 Char"/>
    <w:link w:val="182"/>
    <w:qFormat/>
    <w:uiPriority w:val="0"/>
    <w:rPr>
      <w:rFonts w:ascii="仿宋_GB2312" w:hAnsi="Arial Black" w:eastAsia="仿宋_GB2312"/>
      <w:kern w:val="44"/>
      <w:sz w:val="24"/>
    </w:rPr>
  </w:style>
  <w:style w:type="paragraph" w:customStyle="1" w:styleId="182">
    <w:name w:val="表格文字"/>
    <w:basedOn w:val="1"/>
    <w:link w:val="181"/>
    <w:qFormat/>
    <w:uiPriority w:val="0"/>
    <w:pPr>
      <w:jc w:val="center"/>
    </w:pPr>
    <w:rPr>
      <w:rFonts w:ascii="仿宋_GB2312" w:hAnsi="Arial Black" w:eastAsia="仿宋_GB2312"/>
      <w:kern w:val="44"/>
      <w:sz w:val="24"/>
      <w:szCs w:val="20"/>
    </w:rPr>
  </w:style>
  <w:style w:type="character" w:customStyle="1" w:styleId="183">
    <w:name w:val="书籍标题1"/>
    <w:qFormat/>
    <w:uiPriority w:val="33"/>
    <w:rPr>
      <w:rFonts w:ascii="Cambria" w:hAnsi="Cambria" w:eastAsia="宋体"/>
      <w:b/>
      <w:i/>
      <w:sz w:val="24"/>
      <w:szCs w:val="24"/>
    </w:rPr>
  </w:style>
  <w:style w:type="character" w:customStyle="1" w:styleId="184">
    <w:name w:val="wenzi1"/>
    <w:qFormat/>
    <w:uiPriority w:val="0"/>
    <w:rPr>
      <w:rFonts w:ascii="宋体" w:hAnsi="宋体" w:cs="宋体"/>
      <w:color w:val="000000"/>
      <w:sz w:val="18"/>
      <w:u w:val="none"/>
    </w:rPr>
  </w:style>
  <w:style w:type="character" w:customStyle="1" w:styleId="185">
    <w:name w:val="表头样式1 Char"/>
    <w:link w:val="186"/>
    <w:qFormat/>
    <w:uiPriority w:val="0"/>
    <w:rPr>
      <w:rFonts w:eastAsia="黑体"/>
      <w:b/>
      <w:kern w:val="2"/>
      <w:sz w:val="24"/>
    </w:rPr>
  </w:style>
  <w:style w:type="paragraph" w:customStyle="1" w:styleId="186">
    <w:name w:val="表头样式1"/>
    <w:basedOn w:val="1"/>
    <w:link w:val="185"/>
    <w:qFormat/>
    <w:uiPriority w:val="0"/>
    <w:pPr>
      <w:spacing w:after="80" w:line="480" w:lineRule="atLeast"/>
      <w:jc w:val="center"/>
    </w:pPr>
    <w:rPr>
      <w:rFonts w:eastAsia="黑体"/>
      <w:b/>
      <w:sz w:val="24"/>
      <w:szCs w:val="20"/>
    </w:rPr>
  </w:style>
  <w:style w:type="character" w:customStyle="1" w:styleId="187">
    <w:name w:val="表头 Char"/>
    <w:qFormat/>
    <w:uiPriority w:val="0"/>
    <w:rPr>
      <w:b/>
      <w:bCs/>
      <w:kern w:val="2"/>
      <w:sz w:val="21"/>
    </w:rPr>
  </w:style>
  <w:style w:type="character" w:customStyle="1" w:styleId="188">
    <w:name w:val="页眉或页脚 + 间距 1 pt2"/>
    <w:qFormat/>
    <w:uiPriority w:val="0"/>
    <w:rPr>
      <w:rFonts w:ascii="MingLiU" w:hAnsi="MingLiU" w:eastAsia="MingLiU"/>
      <w:color w:val="000000"/>
      <w:spacing w:val="20"/>
      <w:position w:val="0"/>
      <w:sz w:val="21"/>
      <w:szCs w:val="21"/>
      <w:lang w:val="zh-CN" w:eastAsia="zh-CN" w:bidi="ar-SA"/>
    </w:rPr>
  </w:style>
  <w:style w:type="character" w:customStyle="1" w:styleId="189">
    <w:name w:val="表格文字 Char Char"/>
    <w:qFormat/>
    <w:uiPriority w:val="0"/>
    <w:rPr>
      <w:rFonts w:ascii="仿宋_GB2312" w:hAnsi="Arial Black" w:eastAsia="仿宋_GB2312"/>
      <w:kern w:val="44"/>
      <w:sz w:val="24"/>
      <w:lang w:val="en-US" w:eastAsia="zh-CN" w:bidi="ar-SA"/>
    </w:rPr>
  </w:style>
  <w:style w:type="character" w:customStyle="1" w:styleId="190">
    <w:name w:val="0正文 Char"/>
    <w:link w:val="191"/>
    <w:qFormat/>
    <w:uiPriority w:val="0"/>
    <w:rPr>
      <w:rFonts w:cs="宋体"/>
      <w:sz w:val="24"/>
    </w:rPr>
  </w:style>
  <w:style w:type="paragraph" w:customStyle="1" w:styleId="191">
    <w:name w:val="0正文"/>
    <w:basedOn w:val="18"/>
    <w:link w:val="190"/>
    <w:qFormat/>
    <w:uiPriority w:val="0"/>
    <w:pPr>
      <w:spacing w:after="0" w:line="300" w:lineRule="auto"/>
      <w:ind w:left="0" w:leftChars="0" w:firstLine="480" w:firstLineChars="200"/>
    </w:pPr>
    <w:rPr>
      <w:rFonts w:cs="宋体"/>
    </w:rPr>
  </w:style>
  <w:style w:type="character" w:customStyle="1" w:styleId="192">
    <w:name w:val="标题 4 字符1"/>
    <w:qFormat/>
    <w:uiPriority w:val="0"/>
    <w:rPr>
      <w:b/>
      <w:spacing w:val="-10"/>
      <w:kern w:val="2"/>
      <w:sz w:val="21"/>
      <w:szCs w:val="24"/>
    </w:rPr>
  </w:style>
  <w:style w:type="character" w:customStyle="1" w:styleId="193">
    <w:name w:val="Char Char Char"/>
    <w:qFormat/>
    <w:uiPriority w:val="0"/>
    <w:rPr>
      <w:rFonts w:ascii="宋体" w:hAnsi="Courier New" w:eastAsia="宋体" w:cs="华文新魏"/>
      <w:kern w:val="2"/>
      <w:sz w:val="21"/>
      <w:szCs w:val="21"/>
      <w:lang w:val="en-US" w:eastAsia="zh-CN" w:bidi="ar-SA"/>
    </w:rPr>
  </w:style>
  <w:style w:type="character" w:customStyle="1" w:styleId="194">
    <w:name w:val="引用 字符4"/>
    <w:link w:val="195"/>
    <w:qFormat/>
    <w:uiPriority w:val="29"/>
    <w:rPr>
      <w:i/>
      <w:sz w:val="24"/>
      <w:szCs w:val="24"/>
    </w:rPr>
  </w:style>
  <w:style w:type="paragraph" w:styleId="195">
    <w:name w:val="Quote"/>
    <w:basedOn w:val="1"/>
    <w:next w:val="1"/>
    <w:link w:val="194"/>
    <w:qFormat/>
    <w:uiPriority w:val="29"/>
    <w:pPr>
      <w:widowControl/>
      <w:jc w:val="left"/>
    </w:pPr>
    <w:rPr>
      <w:i/>
      <w:kern w:val="0"/>
      <w:sz w:val="24"/>
    </w:rPr>
  </w:style>
  <w:style w:type="character" w:customStyle="1" w:styleId="196">
    <w:name w:val="明显强调1"/>
    <w:qFormat/>
    <w:uiPriority w:val="21"/>
    <w:rPr>
      <w:b/>
      <w:i/>
      <w:sz w:val="24"/>
      <w:szCs w:val="24"/>
      <w:u w:val="single"/>
    </w:rPr>
  </w:style>
  <w:style w:type="character" w:customStyle="1" w:styleId="197">
    <w:name w:val="批注文字 Char"/>
    <w:qFormat/>
    <w:locked/>
    <w:uiPriority w:val="0"/>
    <w:rPr>
      <w:rFonts w:ascii="Times New Roman" w:hAnsi="Times New Roman" w:eastAsia="宋体"/>
      <w:sz w:val="24"/>
    </w:rPr>
  </w:style>
  <w:style w:type="character" w:customStyle="1" w:styleId="198">
    <w:name w:val="样式1 Char"/>
    <w:link w:val="199"/>
    <w:qFormat/>
    <w:uiPriority w:val="0"/>
    <w:rPr>
      <w:kern w:val="2"/>
      <w:sz w:val="24"/>
    </w:rPr>
  </w:style>
  <w:style w:type="paragraph" w:customStyle="1" w:styleId="199">
    <w:name w:val="样式1"/>
    <w:basedOn w:val="1"/>
    <w:link w:val="198"/>
    <w:qFormat/>
    <w:uiPriority w:val="0"/>
    <w:pPr>
      <w:spacing w:line="360" w:lineRule="auto"/>
      <w:ind w:firstLine="510"/>
    </w:pPr>
    <w:rPr>
      <w:sz w:val="24"/>
      <w:szCs w:val="20"/>
    </w:rPr>
  </w:style>
  <w:style w:type="character" w:customStyle="1" w:styleId="200">
    <w:name w:val="表样式（天安） Char"/>
    <w:link w:val="201"/>
    <w:qFormat/>
    <w:uiPriority w:val="0"/>
    <w:rPr>
      <w:rFonts w:eastAsia="黑体"/>
      <w:kern w:val="2"/>
      <w:sz w:val="24"/>
      <w:szCs w:val="24"/>
    </w:rPr>
  </w:style>
  <w:style w:type="paragraph" w:customStyle="1" w:styleId="201">
    <w:name w:val="表样式（天安）"/>
    <w:basedOn w:val="1"/>
    <w:link w:val="200"/>
    <w:qFormat/>
    <w:uiPriority w:val="0"/>
    <w:pPr>
      <w:adjustRightInd w:val="0"/>
      <w:spacing w:before="93" w:after="93" w:line="360" w:lineRule="auto"/>
      <w:jc w:val="center"/>
    </w:pPr>
    <w:rPr>
      <w:rFonts w:eastAsia="黑体"/>
      <w:sz w:val="24"/>
    </w:rPr>
  </w:style>
  <w:style w:type="character" w:customStyle="1" w:styleId="202">
    <w:name w:val="不明显参考1"/>
    <w:qFormat/>
    <w:uiPriority w:val="31"/>
    <w:rPr>
      <w:sz w:val="24"/>
      <w:szCs w:val="24"/>
      <w:u w:val="single"/>
    </w:rPr>
  </w:style>
  <w:style w:type="character" w:customStyle="1" w:styleId="203">
    <w:name w:val="正文缩进1 Char"/>
    <w:qFormat/>
    <w:uiPriority w:val="0"/>
    <w:rPr>
      <w:sz w:val="24"/>
    </w:rPr>
  </w:style>
  <w:style w:type="character" w:customStyle="1" w:styleId="204">
    <w:name w:val="HTML 预设格式 字符1"/>
    <w:semiHidden/>
    <w:qFormat/>
    <w:uiPriority w:val="99"/>
    <w:rPr>
      <w:rFonts w:ascii="Courier New" w:hAnsi="Courier New" w:cs="Courier New"/>
      <w:sz w:val="24"/>
    </w:rPr>
  </w:style>
  <w:style w:type="character" w:customStyle="1" w:styleId="205">
    <w:name w:val="标题 8 字符1"/>
    <w:qFormat/>
    <w:uiPriority w:val="9"/>
    <w:rPr>
      <w:rFonts w:ascii="Calibri" w:hAnsi="Calibri"/>
      <w:i/>
      <w:iCs/>
      <w:sz w:val="24"/>
      <w:szCs w:val="24"/>
    </w:rPr>
  </w:style>
  <w:style w:type="character" w:customStyle="1" w:styleId="206">
    <w:name w:val="正文01 Char Char"/>
    <w:qFormat/>
    <w:uiPriority w:val="0"/>
    <w:rPr>
      <w:rFonts w:eastAsia="宋体"/>
      <w:kern w:val="2"/>
      <w:sz w:val="27"/>
      <w:lang w:val="en-US" w:eastAsia="zh-CN" w:bidi="ar-SA"/>
    </w:rPr>
  </w:style>
  <w:style w:type="character" w:customStyle="1" w:styleId="207">
    <w:name w:val="font41"/>
    <w:qFormat/>
    <w:uiPriority w:val="0"/>
    <w:rPr>
      <w:rFonts w:hint="default" w:ascii="Times New Roman" w:hAnsi="Times New Roman" w:cs="Times New Roman"/>
      <w:b/>
      <w:color w:val="000000"/>
      <w:sz w:val="21"/>
      <w:szCs w:val="21"/>
      <w:u w:val="none"/>
    </w:rPr>
  </w:style>
  <w:style w:type="character" w:customStyle="1" w:styleId="208">
    <w:name w:val="标题 9 字符1"/>
    <w:qFormat/>
    <w:uiPriority w:val="9"/>
    <w:rPr>
      <w:rFonts w:ascii="Cambria" w:hAnsi="Cambria"/>
    </w:rPr>
  </w:style>
  <w:style w:type="character" w:customStyle="1" w:styleId="209">
    <w:name w:val="apple-converted-space"/>
    <w:qFormat/>
    <w:uiPriority w:val="0"/>
  </w:style>
  <w:style w:type="character" w:customStyle="1" w:styleId="210">
    <w:name w:val="未处理的提及1"/>
    <w:unhideWhenUsed/>
    <w:qFormat/>
    <w:uiPriority w:val="99"/>
    <w:rPr>
      <w:rFonts w:ascii="宋体" w:hAnsi="宋体" w:cs="宋体"/>
      <w:color w:val="605E5C"/>
      <w:sz w:val="24"/>
      <w:shd w:val="clear" w:color="auto" w:fill="E1DFDD"/>
    </w:rPr>
  </w:style>
  <w:style w:type="character" w:customStyle="1" w:styleId="211">
    <w:name w:val="表格内容 Char Char"/>
    <w:qFormat/>
    <w:uiPriority w:val="0"/>
    <w:rPr>
      <w:rFonts w:ascii="宋体" w:hAnsi="宋体" w:eastAsia="仿宋_GB2312" w:cs="宋体"/>
      <w:bCs/>
      <w:kern w:val="2"/>
      <w:sz w:val="24"/>
      <w:szCs w:val="24"/>
      <w:lang w:val="en-US" w:eastAsia="zh-CN" w:bidi="ar-SA"/>
    </w:rPr>
  </w:style>
  <w:style w:type="character" w:customStyle="1" w:styleId="212">
    <w:name w:val="2 Char"/>
    <w:link w:val="213"/>
    <w:qFormat/>
    <w:uiPriority w:val="0"/>
    <w:rPr>
      <w:rFonts w:ascii="Arial" w:hAnsi="Arial" w:cs="Arial"/>
      <w:sz w:val="24"/>
      <w:szCs w:val="24"/>
    </w:rPr>
  </w:style>
  <w:style w:type="paragraph" w:customStyle="1" w:styleId="213">
    <w:name w:val="2"/>
    <w:basedOn w:val="1"/>
    <w:link w:val="212"/>
    <w:qFormat/>
    <w:uiPriority w:val="0"/>
    <w:pPr>
      <w:spacing w:line="560" w:lineRule="exact"/>
      <w:ind w:firstLine="480" w:firstLineChars="200"/>
      <w:jc w:val="left"/>
    </w:pPr>
    <w:rPr>
      <w:rFonts w:ascii="Arial" w:hAnsi="Arial" w:cs="Arial"/>
      <w:kern w:val="0"/>
      <w:sz w:val="24"/>
    </w:rPr>
  </w:style>
  <w:style w:type="character" w:customStyle="1" w:styleId="214">
    <w:name w:val="5表格标题 Char"/>
    <w:link w:val="215"/>
    <w:qFormat/>
    <w:uiPriority w:val="0"/>
    <w:rPr>
      <w:rFonts w:ascii="宋体" w:hAnsi="宋体" w:cs="宋体"/>
      <w:b/>
      <w:sz w:val="21"/>
      <w:szCs w:val="21"/>
    </w:rPr>
  </w:style>
  <w:style w:type="paragraph" w:customStyle="1" w:styleId="215">
    <w:name w:val="5表格标题"/>
    <w:basedOn w:val="1"/>
    <w:link w:val="214"/>
    <w:qFormat/>
    <w:uiPriority w:val="0"/>
    <w:pPr>
      <w:widowControl/>
      <w:adjustRightInd w:val="0"/>
      <w:snapToGrid w:val="0"/>
      <w:spacing w:line="360" w:lineRule="exact"/>
      <w:jc w:val="center"/>
    </w:pPr>
    <w:rPr>
      <w:rFonts w:ascii="宋体" w:hAnsi="宋体" w:cs="宋体"/>
      <w:b/>
      <w:kern w:val="0"/>
      <w:szCs w:val="21"/>
    </w:rPr>
  </w:style>
  <w:style w:type="character" w:customStyle="1" w:styleId="216">
    <w:name w:val="ca-01"/>
    <w:qFormat/>
    <w:uiPriority w:val="0"/>
    <w:rPr>
      <w:rFonts w:hint="eastAsia" w:ascii="宋体" w:hAnsi="宋体" w:eastAsia="宋体"/>
      <w:sz w:val="24"/>
      <w:szCs w:val="24"/>
    </w:rPr>
  </w:style>
  <w:style w:type="character" w:customStyle="1" w:styleId="217">
    <w:name w:val="普通(网站) Char"/>
    <w:qFormat/>
    <w:locked/>
    <w:uiPriority w:val="0"/>
    <w:rPr>
      <w:rFonts w:ascii="宋体" w:hAnsi="宋体" w:eastAsia="宋体"/>
      <w:sz w:val="24"/>
    </w:rPr>
  </w:style>
  <w:style w:type="character" w:customStyle="1" w:styleId="218">
    <w:name w:val="font01"/>
    <w:qFormat/>
    <w:uiPriority w:val="0"/>
    <w:rPr>
      <w:rFonts w:hint="eastAsia" w:ascii="宋体" w:hAnsi="宋体" w:eastAsia="宋体" w:cs="宋体"/>
      <w:color w:val="000000"/>
      <w:sz w:val="22"/>
      <w:szCs w:val="22"/>
      <w:u w:val="none"/>
    </w:rPr>
  </w:style>
  <w:style w:type="character" w:customStyle="1" w:styleId="219">
    <w:name w:val="表头 Char Char"/>
    <w:link w:val="220"/>
    <w:qFormat/>
    <w:uiPriority w:val="0"/>
    <w:rPr>
      <w:rFonts w:eastAsia="黑体"/>
      <w:sz w:val="28"/>
    </w:rPr>
  </w:style>
  <w:style w:type="paragraph" w:customStyle="1" w:styleId="220">
    <w:name w:val="表头"/>
    <w:basedOn w:val="38"/>
    <w:next w:val="1"/>
    <w:link w:val="219"/>
    <w:qFormat/>
    <w:uiPriority w:val="0"/>
    <w:pPr>
      <w:widowControl/>
      <w:overflowPunct w:val="0"/>
      <w:autoSpaceDE w:val="0"/>
      <w:autoSpaceDN w:val="0"/>
      <w:adjustRightInd w:val="0"/>
      <w:snapToGrid w:val="0"/>
      <w:spacing w:before="60" w:after="60" w:line="360" w:lineRule="auto"/>
      <w:ind w:right="113" w:firstLine="539" w:firstLineChars="0"/>
      <w:jc w:val="center"/>
      <w:textAlignment w:val="baseline"/>
    </w:pPr>
    <w:rPr>
      <w:rFonts w:eastAsia="黑体"/>
      <w:sz w:val="28"/>
    </w:rPr>
  </w:style>
  <w:style w:type="character" w:customStyle="1" w:styleId="221">
    <w:name w:val="明显引用 字符"/>
    <w:qFormat/>
    <w:uiPriority w:val="30"/>
    <w:rPr>
      <w:rFonts w:ascii="宋体" w:hAnsi="宋体" w:cs="宋体"/>
      <w:i/>
      <w:iCs/>
      <w:color w:val="4472C4"/>
      <w:kern w:val="2"/>
      <w:sz w:val="21"/>
      <w:szCs w:val="24"/>
    </w:rPr>
  </w:style>
  <w:style w:type="character" w:customStyle="1" w:styleId="222">
    <w:name w:val="报告表  段 Char Char"/>
    <w:link w:val="223"/>
    <w:qFormat/>
    <w:uiPriority w:val="0"/>
    <w:rPr>
      <w:rFonts w:ascii="宋体"/>
      <w:sz w:val="24"/>
    </w:rPr>
  </w:style>
  <w:style w:type="paragraph" w:customStyle="1" w:styleId="223">
    <w:name w:val="报告表  段"/>
    <w:basedOn w:val="1"/>
    <w:link w:val="222"/>
    <w:qFormat/>
    <w:uiPriority w:val="0"/>
    <w:pPr>
      <w:adjustRightInd w:val="0"/>
      <w:spacing w:line="360" w:lineRule="auto"/>
      <w:ind w:firstLine="505"/>
      <w:textAlignment w:val="baseline"/>
    </w:pPr>
    <w:rPr>
      <w:rFonts w:ascii="宋体"/>
      <w:kern w:val="0"/>
      <w:sz w:val="24"/>
      <w:szCs w:val="20"/>
    </w:rPr>
  </w:style>
  <w:style w:type="character" w:customStyle="1" w:styleId="224">
    <w:name w:val="Char Char3"/>
    <w:qFormat/>
    <w:uiPriority w:val="0"/>
    <w:rPr>
      <w:rFonts w:ascii="宋体" w:hAnsi="Courier New" w:eastAsia="宋体" w:cs="Courier New"/>
      <w:kern w:val="2"/>
      <w:sz w:val="21"/>
      <w:szCs w:val="21"/>
      <w:lang w:val="en-US" w:eastAsia="zh-CN" w:bidi="ar-SA"/>
    </w:rPr>
  </w:style>
  <w:style w:type="character" w:customStyle="1" w:styleId="225">
    <w:name w:val="报告表正文 Char"/>
    <w:link w:val="226"/>
    <w:qFormat/>
    <w:uiPriority w:val="0"/>
    <w:rPr>
      <w:sz w:val="24"/>
    </w:rPr>
  </w:style>
  <w:style w:type="paragraph" w:customStyle="1" w:styleId="226">
    <w:name w:val="报告表正文"/>
    <w:basedOn w:val="1"/>
    <w:link w:val="225"/>
    <w:qFormat/>
    <w:uiPriority w:val="0"/>
    <w:pPr>
      <w:adjustRightInd w:val="0"/>
      <w:spacing w:line="312" w:lineRule="auto"/>
      <w:ind w:left="113" w:right="113" w:firstLine="482"/>
      <w:jc w:val="left"/>
      <w:textAlignment w:val="baseline"/>
    </w:pPr>
    <w:rPr>
      <w:kern w:val="0"/>
      <w:sz w:val="24"/>
      <w:szCs w:val="20"/>
    </w:rPr>
  </w:style>
  <w:style w:type="character" w:customStyle="1" w:styleId="227">
    <w:name w:val="正文文本首行缩进 字符"/>
    <w:semiHidden/>
    <w:qFormat/>
    <w:uiPriority w:val="99"/>
  </w:style>
  <w:style w:type="character" w:customStyle="1" w:styleId="228">
    <w:name w:val="报告正文 Char Char"/>
    <w:qFormat/>
    <w:uiPriority w:val="0"/>
    <w:rPr>
      <w:rFonts w:ascii="Times New Roman" w:hAnsi="Times New Roman"/>
      <w:kern w:val="2"/>
      <w:sz w:val="24"/>
      <w:szCs w:val="22"/>
      <w:lang w:bidi="ar-SA"/>
    </w:rPr>
  </w:style>
  <w:style w:type="character" w:customStyle="1" w:styleId="229">
    <w:name w:val="君邦正文 Char4"/>
    <w:qFormat/>
    <w:uiPriority w:val="0"/>
    <w:rPr>
      <w:rFonts w:eastAsia="宋体"/>
      <w:kern w:val="2"/>
      <w:sz w:val="24"/>
      <w:szCs w:val="24"/>
      <w:lang w:val="en-US" w:eastAsia="zh-CN" w:bidi="ar-SA"/>
    </w:rPr>
  </w:style>
  <w:style w:type="character" w:customStyle="1" w:styleId="230">
    <w:name w:val="标题 1 字符1"/>
    <w:qFormat/>
    <w:uiPriority w:val="0"/>
    <w:rPr>
      <w:b/>
      <w:spacing w:val="-10"/>
      <w:kern w:val="2"/>
      <w:sz w:val="24"/>
      <w:szCs w:val="24"/>
    </w:rPr>
  </w:style>
  <w:style w:type="character" w:customStyle="1" w:styleId="231">
    <w:name w:val="报告正文 Char"/>
    <w:link w:val="232"/>
    <w:qFormat/>
    <w:uiPriority w:val="0"/>
    <w:rPr>
      <w:rFonts w:ascii="宋体"/>
      <w:sz w:val="24"/>
    </w:rPr>
  </w:style>
  <w:style w:type="paragraph" w:customStyle="1" w:styleId="232">
    <w:name w:val="报告正文"/>
    <w:basedOn w:val="1"/>
    <w:link w:val="231"/>
    <w:qFormat/>
    <w:uiPriority w:val="0"/>
    <w:pPr>
      <w:widowControl/>
      <w:autoSpaceDE w:val="0"/>
      <w:autoSpaceDN w:val="0"/>
      <w:adjustRightInd w:val="0"/>
      <w:spacing w:line="560" w:lineRule="atLeast"/>
      <w:ind w:firstLine="200" w:firstLineChars="200"/>
      <w:jc w:val="left"/>
      <w:textAlignment w:val="baseline"/>
    </w:pPr>
    <w:rPr>
      <w:rFonts w:ascii="宋体"/>
      <w:kern w:val="0"/>
      <w:sz w:val="24"/>
      <w:szCs w:val="20"/>
    </w:rPr>
  </w:style>
  <w:style w:type="character" w:customStyle="1" w:styleId="233">
    <w:name w:val="标准正文 Char"/>
    <w:link w:val="234"/>
    <w:qFormat/>
    <w:uiPriority w:val="0"/>
    <w:rPr>
      <w:kern w:val="2"/>
      <w:sz w:val="24"/>
      <w:szCs w:val="22"/>
    </w:rPr>
  </w:style>
  <w:style w:type="paragraph" w:customStyle="1" w:styleId="234">
    <w:name w:val="标准正文"/>
    <w:basedOn w:val="1"/>
    <w:link w:val="233"/>
    <w:qFormat/>
    <w:uiPriority w:val="0"/>
    <w:pPr>
      <w:spacing w:line="360" w:lineRule="auto"/>
      <w:ind w:firstLine="480" w:firstLineChars="200"/>
      <w:jc w:val="left"/>
    </w:pPr>
    <w:rPr>
      <w:sz w:val="24"/>
      <w:szCs w:val="22"/>
    </w:rPr>
  </w:style>
  <w:style w:type="character" w:customStyle="1" w:styleId="235">
    <w:name w:val="批注框文本 Char"/>
    <w:qFormat/>
    <w:locked/>
    <w:uiPriority w:val="0"/>
    <w:rPr>
      <w:rFonts w:ascii="Times New Roman" w:hAnsi="Times New Roman" w:eastAsia="宋体"/>
      <w:sz w:val="18"/>
    </w:rPr>
  </w:style>
  <w:style w:type="character" w:customStyle="1" w:styleId="236">
    <w:name w:val="报告表 段 Char"/>
    <w:link w:val="237"/>
    <w:qFormat/>
    <w:uiPriority w:val="0"/>
    <w:rPr>
      <w:rFonts w:ascii="宋体"/>
      <w:bCs/>
      <w:kern w:val="2"/>
      <w:sz w:val="24"/>
    </w:rPr>
  </w:style>
  <w:style w:type="paragraph" w:customStyle="1" w:styleId="237">
    <w:name w:val="报告表 段"/>
    <w:basedOn w:val="1"/>
    <w:link w:val="236"/>
    <w:qFormat/>
    <w:uiPriority w:val="0"/>
    <w:pPr>
      <w:snapToGrid w:val="0"/>
      <w:spacing w:line="360" w:lineRule="auto"/>
      <w:ind w:firstLine="505"/>
    </w:pPr>
    <w:rPr>
      <w:rFonts w:ascii="宋体"/>
      <w:bCs/>
      <w:sz w:val="24"/>
      <w:szCs w:val="20"/>
    </w:rPr>
  </w:style>
  <w:style w:type="character" w:customStyle="1" w:styleId="238">
    <w:name w:val="正 文 1 Char Char"/>
    <w:qFormat/>
    <w:uiPriority w:val="0"/>
    <w:rPr>
      <w:rFonts w:ascii="宋体" w:hAnsi="Courier New" w:eastAsia="宋体" w:cs="Courier New"/>
      <w:kern w:val="2"/>
      <w:sz w:val="21"/>
      <w:szCs w:val="21"/>
      <w:lang w:val="en-US" w:eastAsia="zh-CN" w:bidi="ar-SA"/>
    </w:rPr>
  </w:style>
  <w:style w:type="character" w:customStyle="1" w:styleId="239">
    <w:name w:val="正文文本缩进 3 字符"/>
    <w:semiHidden/>
    <w:qFormat/>
    <w:uiPriority w:val="99"/>
    <w:rPr>
      <w:rFonts w:ascii="宋体" w:hAnsi="宋体" w:cs="宋体"/>
      <w:sz w:val="16"/>
      <w:szCs w:val="16"/>
    </w:rPr>
  </w:style>
  <w:style w:type="character" w:customStyle="1" w:styleId="240">
    <w:name w:val="正文文本缩进 3 字符1"/>
    <w:qFormat/>
    <w:uiPriority w:val="0"/>
    <w:rPr>
      <w:rFonts w:ascii="宋体"/>
      <w:b/>
      <w:kern w:val="2"/>
      <w:sz w:val="24"/>
      <w:szCs w:val="24"/>
    </w:rPr>
  </w:style>
  <w:style w:type="character" w:customStyle="1" w:styleId="241">
    <w:name w:val="html_txt1"/>
    <w:qFormat/>
    <w:uiPriority w:val="0"/>
    <w:rPr>
      <w:color w:val="000000"/>
    </w:rPr>
  </w:style>
  <w:style w:type="character" w:customStyle="1" w:styleId="242">
    <w:name w:val="正文(首行缩进) Char1"/>
    <w:link w:val="243"/>
    <w:qFormat/>
    <w:uiPriority w:val="0"/>
    <w:rPr>
      <w:rFonts w:ascii="宋体" w:hAnsi="宋体"/>
      <w:kern w:val="2"/>
      <w:sz w:val="24"/>
      <w:szCs w:val="24"/>
    </w:rPr>
  </w:style>
  <w:style w:type="paragraph" w:customStyle="1" w:styleId="243">
    <w:name w:val="正文(首行缩进)"/>
    <w:basedOn w:val="1"/>
    <w:link w:val="242"/>
    <w:qFormat/>
    <w:uiPriority w:val="0"/>
    <w:pPr>
      <w:spacing w:line="360" w:lineRule="auto"/>
      <w:ind w:firstLine="480" w:firstLineChars="200"/>
    </w:pPr>
    <w:rPr>
      <w:rFonts w:ascii="宋体" w:hAnsi="宋体"/>
      <w:sz w:val="24"/>
    </w:rPr>
  </w:style>
  <w:style w:type="character" w:customStyle="1" w:styleId="244">
    <w:name w:val="正文文本 Char"/>
    <w:qFormat/>
    <w:locked/>
    <w:uiPriority w:val="0"/>
    <w:rPr>
      <w:sz w:val="18"/>
    </w:rPr>
  </w:style>
  <w:style w:type="character" w:customStyle="1" w:styleId="245">
    <w:name w:val="说明书 Char"/>
    <w:link w:val="246"/>
    <w:qFormat/>
    <w:uiPriority w:val="0"/>
    <w:rPr>
      <w:rFonts w:ascii="宋体" w:hAnsi="宋体"/>
      <w:kern w:val="2"/>
      <w:sz w:val="24"/>
      <w:szCs w:val="24"/>
    </w:rPr>
  </w:style>
  <w:style w:type="paragraph" w:customStyle="1" w:styleId="246">
    <w:name w:val="说明书"/>
    <w:basedOn w:val="1"/>
    <w:link w:val="245"/>
    <w:qFormat/>
    <w:uiPriority w:val="0"/>
    <w:pPr>
      <w:spacing w:line="500" w:lineRule="exact"/>
      <w:ind w:firstLine="200" w:firstLineChars="200"/>
      <w:jc w:val="left"/>
    </w:pPr>
    <w:rPr>
      <w:rFonts w:ascii="宋体" w:hAnsi="宋体"/>
      <w:sz w:val="24"/>
    </w:rPr>
  </w:style>
  <w:style w:type="character" w:customStyle="1" w:styleId="247">
    <w:name w:val="正文样式 Char"/>
    <w:link w:val="248"/>
    <w:qFormat/>
    <w:uiPriority w:val="0"/>
    <w:rPr>
      <w:rFonts w:ascii="宋体" w:hAnsi="宋体"/>
      <w:sz w:val="24"/>
      <w:szCs w:val="24"/>
    </w:rPr>
  </w:style>
  <w:style w:type="paragraph" w:customStyle="1" w:styleId="248">
    <w:name w:val="正文样式"/>
    <w:basedOn w:val="1"/>
    <w:link w:val="247"/>
    <w:qFormat/>
    <w:uiPriority w:val="0"/>
    <w:pPr>
      <w:spacing w:line="360" w:lineRule="auto"/>
      <w:ind w:firstLine="480" w:firstLineChars="200"/>
    </w:pPr>
    <w:rPr>
      <w:rFonts w:ascii="宋体" w:hAnsi="宋体"/>
      <w:kern w:val="0"/>
      <w:sz w:val="24"/>
    </w:rPr>
  </w:style>
  <w:style w:type="character" w:customStyle="1" w:styleId="249">
    <w:name w:val="环科院表格标题 Char"/>
    <w:link w:val="250"/>
    <w:qFormat/>
    <w:uiPriority w:val="0"/>
    <w:rPr>
      <w:rFonts w:eastAsia="黑体"/>
      <w:kern w:val="2"/>
      <w:sz w:val="24"/>
      <w:szCs w:val="24"/>
    </w:rPr>
  </w:style>
  <w:style w:type="paragraph" w:customStyle="1" w:styleId="250">
    <w:name w:val="环科院表格标题"/>
    <w:basedOn w:val="1"/>
    <w:link w:val="249"/>
    <w:qFormat/>
    <w:uiPriority w:val="0"/>
    <w:pPr>
      <w:spacing w:before="156" w:beforeLines="50"/>
      <w:jc w:val="center"/>
    </w:pPr>
    <w:rPr>
      <w:rFonts w:eastAsia="黑体"/>
      <w:sz w:val="24"/>
    </w:rPr>
  </w:style>
  <w:style w:type="character" w:customStyle="1" w:styleId="251">
    <w:name w:val="批注主题 Char"/>
    <w:qFormat/>
    <w:locked/>
    <w:uiPriority w:val="0"/>
    <w:rPr>
      <w:rFonts w:ascii="Times New Roman" w:hAnsi="Times New Roman" w:eastAsia="宋体"/>
      <w:b/>
      <w:kern w:val="2"/>
      <w:sz w:val="24"/>
    </w:rPr>
  </w:style>
  <w:style w:type="character" w:customStyle="1" w:styleId="252">
    <w:name w:val="apple-style-span"/>
    <w:qFormat/>
    <w:uiPriority w:val="0"/>
  </w:style>
  <w:style w:type="character" w:customStyle="1" w:styleId="253">
    <w:name w:val="size12"/>
    <w:qFormat/>
    <w:uiPriority w:val="0"/>
  </w:style>
  <w:style w:type="character" w:customStyle="1" w:styleId="254">
    <w:name w:val="Char Char1 Char1"/>
    <w:link w:val="255"/>
    <w:qFormat/>
    <w:uiPriority w:val="0"/>
    <w:rPr>
      <w:rFonts w:ascii="宋体" w:hAnsi="宋体" w:cs="宋体"/>
      <w:kern w:val="2"/>
      <w:sz w:val="24"/>
      <w:szCs w:val="24"/>
    </w:rPr>
  </w:style>
  <w:style w:type="paragraph" w:customStyle="1" w:styleId="255">
    <w:name w:val="Char Char11"/>
    <w:basedOn w:val="1"/>
    <w:link w:val="254"/>
    <w:qFormat/>
    <w:uiPriority w:val="0"/>
    <w:pPr>
      <w:spacing w:line="360" w:lineRule="auto"/>
      <w:ind w:firstLine="200" w:firstLineChars="200"/>
    </w:pPr>
    <w:rPr>
      <w:rFonts w:ascii="宋体" w:hAnsi="宋体" w:cs="宋体"/>
      <w:sz w:val="24"/>
    </w:rPr>
  </w:style>
  <w:style w:type="character" w:customStyle="1" w:styleId="256">
    <w:name w:val="标题 1 字符"/>
    <w:qFormat/>
    <w:uiPriority w:val="0"/>
    <w:rPr>
      <w:rFonts w:ascii="宋体" w:hAnsi="宋体" w:cs="宋体"/>
      <w:b/>
      <w:bCs/>
      <w:kern w:val="44"/>
      <w:sz w:val="44"/>
      <w:szCs w:val="44"/>
    </w:rPr>
  </w:style>
  <w:style w:type="character" w:customStyle="1" w:styleId="257">
    <w:name w:val="标题 6 字符1"/>
    <w:qFormat/>
    <w:uiPriority w:val="9"/>
    <w:rPr>
      <w:rFonts w:ascii="Calibri" w:hAnsi="Calibri"/>
      <w:b/>
      <w:bCs/>
    </w:rPr>
  </w:style>
  <w:style w:type="character" w:customStyle="1" w:styleId="258">
    <w:name w:val="p21"/>
    <w:qFormat/>
    <w:uiPriority w:val="0"/>
    <w:rPr>
      <w:sz w:val="20"/>
      <w:szCs w:val="20"/>
    </w:rPr>
  </w:style>
  <w:style w:type="character" w:customStyle="1" w:styleId="259">
    <w:name w:val="标题 7 字符1"/>
    <w:qFormat/>
    <w:uiPriority w:val="9"/>
    <w:rPr>
      <w:rFonts w:ascii="Calibri" w:hAnsi="Calibri"/>
      <w:sz w:val="24"/>
      <w:szCs w:val="24"/>
    </w:rPr>
  </w:style>
  <w:style w:type="character" w:customStyle="1" w:styleId="260">
    <w:name w:val="图表标题 Char"/>
    <w:link w:val="261"/>
    <w:qFormat/>
    <w:uiPriority w:val="0"/>
    <w:rPr>
      <w:rFonts w:ascii="黑体" w:hAnsi="黑体" w:eastAsia="黑体"/>
      <w:kern w:val="2"/>
      <w:sz w:val="21"/>
      <w:szCs w:val="21"/>
    </w:rPr>
  </w:style>
  <w:style w:type="paragraph" w:customStyle="1" w:styleId="261">
    <w:name w:val="图表标题"/>
    <w:basedOn w:val="30"/>
    <w:link w:val="260"/>
    <w:qFormat/>
    <w:uiPriority w:val="0"/>
    <w:pPr>
      <w:adjustRightInd w:val="0"/>
      <w:snapToGrid w:val="0"/>
      <w:spacing w:line="480" w:lineRule="exact"/>
      <w:ind w:left="0" w:leftChars="0" w:firstLine="0" w:firstLineChars="0"/>
      <w:jc w:val="center"/>
    </w:pPr>
    <w:rPr>
      <w:rFonts w:ascii="黑体" w:hAnsi="黑体" w:eastAsia="黑体"/>
      <w:kern w:val="2"/>
      <w:szCs w:val="21"/>
    </w:rPr>
  </w:style>
  <w:style w:type="character" w:customStyle="1" w:styleId="262">
    <w:name w:val="正文(首行缩进) Char"/>
    <w:qFormat/>
    <w:uiPriority w:val="0"/>
    <w:rPr>
      <w:snapToGrid/>
      <w:sz w:val="24"/>
    </w:rPr>
  </w:style>
  <w:style w:type="character" w:customStyle="1" w:styleId="263">
    <w:name w:val="标题 3 字符1"/>
    <w:qFormat/>
    <w:uiPriority w:val="0"/>
    <w:rPr>
      <w:rFonts w:ascii="黑体" w:eastAsia="黑体"/>
      <w:b/>
      <w:kern w:val="2"/>
      <w:sz w:val="28"/>
    </w:rPr>
  </w:style>
  <w:style w:type="character" w:customStyle="1" w:styleId="264">
    <w:name w:val="Body text (2)_"/>
    <w:link w:val="265"/>
    <w:qFormat/>
    <w:uiPriority w:val="0"/>
    <w:rPr>
      <w:rFonts w:ascii="MingLiU" w:hAnsi="MingLiU" w:eastAsia="MingLiU" w:cs="MingLiU"/>
      <w:sz w:val="22"/>
      <w:szCs w:val="22"/>
      <w:shd w:val="clear" w:color="auto" w:fill="FFFFFF"/>
    </w:rPr>
  </w:style>
  <w:style w:type="paragraph" w:customStyle="1" w:styleId="265">
    <w:name w:val="Body text (2)"/>
    <w:basedOn w:val="1"/>
    <w:link w:val="264"/>
    <w:qFormat/>
    <w:uiPriority w:val="0"/>
    <w:pPr>
      <w:shd w:val="clear" w:color="auto" w:fill="FFFFFF"/>
      <w:spacing w:before="240" w:line="504" w:lineRule="exact"/>
      <w:ind w:firstLine="480"/>
      <w:jc w:val="distribute"/>
    </w:pPr>
    <w:rPr>
      <w:rFonts w:ascii="MingLiU" w:hAnsi="MingLiU" w:eastAsia="MingLiU" w:cs="MingLiU"/>
      <w:kern w:val="0"/>
      <w:sz w:val="22"/>
      <w:szCs w:val="22"/>
    </w:rPr>
  </w:style>
  <w:style w:type="character" w:customStyle="1" w:styleId="266">
    <w:name w:val="样式 标题 3 + 首行缩进:  2 字符 Char"/>
    <w:link w:val="267"/>
    <w:qFormat/>
    <w:uiPriority w:val="0"/>
    <w:rPr>
      <w:rFonts w:ascii="黑体" w:hAnsi="宋体" w:eastAsia="黑体" w:cs="宋体"/>
      <w:sz w:val="28"/>
      <w:szCs w:val="28"/>
    </w:rPr>
  </w:style>
  <w:style w:type="paragraph" w:customStyle="1" w:styleId="267">
    <w:name w:val="样式 标题 3 + 首行缩进:  2 字符"/>
    <w:basedOn w:val="5"/>
    <w:next w:val="1"/>
    <w:link w:val="266"/>
    <w:qFormat/>
    <w:uiPriority w:val="0"/>
    <w:pPr>
      <w:spacing w:before="0" w:after="0" w:line="560" w:lineRule="exact"/>
      <w:ind w:left="720" w:hanging="720"/>
      <w:jc w:val="both"/>
      <w:textAlignment w:val="auto"/>
    </w:pPr>
    <w:rPr>
      <w:rFonts w:ascii="黑体" w:hAnsi="宋体" w:cs="宋体"/>
      <w:b w:val="0"/>
      <w:sz w:val="28"/>
      <w:szCs w:val="28"/>
    </w:rPr>
  </w:style>
  <w:style w:type="character" w:customStyle="1" w:styleId="268">
    <w:name w:val="news_nr_1"/>
    <w:qFormat/>
    <w:uiPriority w:val="0"/>
    <w:rPr>
      <w:sz w:val="14"/>
      <w:szCs w:val="14"/>
      <w:u w:val="none"/>
    </w:rPr>
  </w:style>
  <w:style w:type="character" w:customStyle="1" w:styleId="269">
    <w:name w:val="标准正文 Char Char"/>
    <w:qFormat/>
    <w:uiPriority w:val="0"/>
    <w:rPr>
      <w:rFonts w:eastAsia="宋体"/>
      <w:kern w:val="2"/>
      <w:sz w:val="24"/>
      <w:szCs w:val="22"/>
      <w:lang w:val="en-US" w:eastAsia="zh-CN" w:bidi="ar-SA"/>
    </w:rPr>
  </w:style>
  <w:style w:type="character" w:customStyle="1" w:styleId="270">
    <w:name w:val="文档结构图 字符"/>
    <w:qFormat/>
    <w:uiPriority w:val="99"/>
    <w:rPr>
      <w:rFonts w:ascii="Microsoft YaHei UI" w:hAnsi="宋体" w:eastAsia="Microsoft YaHei UI" w:cs="宋体"/>
      <w:kern w:val="2"/>
      <w:sz w:val="18"/>
      <w:szCs w:val="18"/>
    </w:rPr>
  </w:style>
  <w:style w:type="character" w:customStyle="1" w:styleId="271">
    <w:name w:val="表中 Char"/>
    <w:link w:val="272"/>
    <w:qFormat/>
    <w:uiPriority w:val="0"/>
    <w:rPr>
      <w:kern w:val="2"/>
      <w:sz w:val="21"/>
      <w:szCs w:val="21"/>
    </w:rPr>
  </w:style>
  <w:style w:type="paragraph" w:customStyle="1" w:styleId="272">
    <w:name w:val="表中"/>
    <w:basedOn w:val="1"/>
    <w:link w:val="271"/>
    <w:qFormat/>
    <w:uiPriority w:val="0"/>
    <w:pPr>
      <w:spacing w:line="360" w:lineRule="exact"/>
      <w:jc w:val="center"/>
    </w:pPr>
    <w:rPr>
      <w:szCs w:val="21"/>
    </w:rPr>
  </w:style>
  <w:style w:type="character" w:customStyle="1" w:styleId="273">
    <w:name w:val="标题 Char"/>
    <w:qFormat/>
    <w:uiPriority w:val="10"/>
    <w:rPr>
      <w:rFonts w:ascii="Cambria" w:hAnsi="Cambria" w:eastAsia="宋体" w:cs="Times New Roman"/>
      <w:b/>
      <w:bCs/>
      <w:kern w:val="2"/>
      <w:sz w:val="32"/>
      <w:szCs w:val="32"/>
    </w:rPr>
  </w:style>
  <w:style w:type="character" w:customStyle="1" w:styleId="274">
    <w:name w:val="size101"/>
    <w:qFormat/>
    <w:uiPriority w:val="0"/>
    <w:rPr>
      <w:rFonts w:hint="default"/>
      <w:spacing w:val="480"/>
      <w:sz w:val="20"/>
      <w:szCs w:val="20"/>
    </w:rPr>
  </w:style>
  <w:style w:type="character" w:customStyle="1" w:styleId="275">
    <w:name w:val="页脚 Char"/>
    <w:qFormat/>
    <w:locked/>
    <w:uiPriority w:val="99"/>
    <w:rPr>
      <w:sz w:val="18"/>
    </w:rPr>
  </w:style>
  <w:style w:type="character" w:customStyle="1" w:styleId="276">
    <w:name w:val="HTML 预设格式 字符"/>
    <w:semiHidden/>
    <w:qFormat/>
    <w:uiPriority w:val="99"/>
    <w:rPr>
      <w:rFonts w:ascii="宋体" w:hAnsi="宋体" w:cs="宋体"/>
      <w:sz w:val="24"/>
      <w:szCs w:val="24"/>
    </w:rPr>
  </w:style>
  <w:style w:type="character" w:customStyle="1" w:styleId="277">
    <w:name w:val="正文01 Char"/>
    <w:link w:val="278"/>
    <w:qFormat/>
    <w:uiPriority w:val="0"/>
    <w:rPr>
      <w:bCs/>
      <w:kern w:val="2"/>
      <w:sz w:val="24"/>
      <w:szCs w:val="24"/>
    </w:rPr>
  </w:style>
  <w:style w:type="paragraph" w:customStyle="1" w:styleId="278">
    <w:name w:val="正文01"/>
    <w:basedOn w:val="1"/>
    <w:link w:val="277"/>
    <w:qFormat/>
    <w:uiPriority w:val="0"/>
    <w:pPr>
      <w:adjustRightInd w:val="0"/>
      <w:spacing w:line="520" w:lineRule="exact"/>
      <w:ind w:firstLine="480" w:firstLineChars="200"/>
      <w:textAlignment w:val="baseline"/>
    </w:pPr>
    <w:rPr>
      <w:bCs/>
      <w:sz w:val="24"/>
    </w:rPr>
  </w:style>
  <w:style w:type="character" w:customStyle="1" w:styleId="279">
    <w:name w:val="表格新格式 字符"/>
    <w:link w:val="280"/>
    <w:qFormat/>
    <w:uiPriority w:val="0"/>
    <w:rPr>
      <w:color w:val="000000"/>
      <w:kern w:val="2"/>
      <w:sz w:val="21"/>
      <w:szCs w:val="21"/>
    </w:rPr>
  </w:style>
  <w:style w:type="paragraph" w:customStyle="1" w:styleId="280">
    <w:name w:val="表格新格式"/>
    <w:basedOn w:val="1"/>
    <w:link w:val="279"/>
    <w:qFormat/>
    <w:uiPriority w:val="0"/>
    <w:pPr>
      <w:spacing w:line="280" w:lineRule="exact"/>
      <w:jc w:val="center"/>
    </w:pPr>
    <w:rPr>
      <w:color w:val="000000"/>
      <w:szCs w:val="21"/>
    </w:rPr>
  </w:style>
  <w:style w:type="character" w:customStyle="1" w:styleId="281">
    <w:name w:val="表格内容 Char"/>
    <w:link w:val="282"/>
    <w:qFormat/>
    <w:uiPriority w:val="0"/>
    <w:rPr>
      <w:kern w:val="2"/>
      <w:sz w:val="21"/>
      <w:szCs w:val="24"/>
    </w:rPr>
  </w:style>
  <w:style w:type="paragraph" w:customStyle="1" w:styleId="282">
    <w:name w:val="表格内容"/>
    <w:basedOn w:val="1"/>
    <w:next w:val="1"/>
    <w:link w:val="281"/>
    <w:qFormat/>
    <w:uiPriority w:val="0"/>
    <w:pPr>
      <w:spacing w:before="80" w:after="80"/>
      <w:jc w:val="center"/>
    </w:pPr>
  </w:style>
  <w:style w:type="character" w:customStyle="1" w:styleId="283">
    <w:name w:val="正文文本136 字符"/>
    <w:link w:val="284"/>
    <w:qFormat/>
    <w:uiPriority w:val="0"/>
    <w:rPr>
      <w:color w:val="000000"/>
      <w:spacing w:val="4"/>
      <w:kern w:val="2"/>
      <w:sz w:val="24"/>
      <w:szCs w:val="24"/>
    </w:rPr>
  </w:style>
  <w:style w:type="paragraph" w:customStyle="1" w:styleId="284">
    <w:name w:val="正文文本136"/>
    <w:basedOn w:val="17"/>
    <w:link w:val="283"/>
    <w:qFormat/>
    <w:uiPriority w:val="0"/>
    <w:pPr>
      <w:widowControl w:val="0"/>
      <w:snapToGrid/>
      <w:spacing w:before="0" w:after="0" w:line="480" w:lineRule="exact"/>
      <w:ind w:right="0" w:firstLine="496" w:firstLineChars="200"/>
    </w:pPr>
    <w:rPr>
      <w:color w:val="000000"/>
      <w:spacing w:val="4"/>
      <w:kern w:val="2"/>
      <w:sz w:val="24"/>
      <w:szCs w:val="24"/>
    </w:rPr>
  </w:style>
  <w:style w:type="character" w:customStyle="1" w:styleId="285">
    <w:name w:val="页眉 字符1"/>
    <w:qFormat/>
    <w:uiPriority w:val="0"/>
    <w:rPr>
      <w:kern w:val="2"/>
      <w:sz w:val="18"/>
      <w:szCs w:val="18"/>
    </w:rPr>
  </w:style>
  <w:style w:type="character" w:styleId="286">
    <w:name w:val="Placeholder Text"/>
    <w:semiHidden/>
    <w:qFormat/>
    <w:uiPriority w:val="99"/>
    <w:rPr>
      <w:color w:val="808080"/>
    </w:rPr>
  </w:style>
  <w:style w:type="character" w:customStyle="1" w:styleId="287">
    <w:name w:val="正文文本 2 字符"/>
    <w:qFormat/>
    <w:uiPriority w:val="0"/>
    <w:rPr>
      <w:rFonts w:ascii="宋体" w:hAnsi="宋体"/>
      <w:kern w:val="2"/>
      <w:sz w:val="24"/>
      <w:szCs w:val="24"/>
    </w:rPr>
  </w:style>
  <w:style w:type="character" w:customStyle="1" w:styleId="288">
    <w:name w:val="fontstyle21"/>
    <w:qFormat/>
    <w:uiPriority w:val="0"/>
    <w:rPr>
      <w:rFonts w:hint="default" w:ascii="TimesNewRomanPS-BoldMT" w:hAnsi="TimesNewRomanPS-BoldMT"/>
      <w:b/>
      <w:bCs/>
      <w:color w:val="000000"/>
      <w:sz w:val="22"/>
      <w:szCs w:val="22"/>
    </w:rPr>
  </w:style>
  <w:style w:type="character" w:customStyle="1" w:styleId="289">
    <w:name w:val="font11"/>
    <w:qFormat/>
    <w:uiPriority w:val="0"/>
    <w:rPr>
      <w:rFonts w:hint="default" w:ascii="Times New Roman" w:hAnsi="Times New Roman" w:cs="Times New Roman"/>
      <w:b/>
      <w:color w:val="000000"/>
      <w:sz w:val="21"/>
      <w:szCs w:val="21"/>
      <w:u w:val="none"/>
      <w:vertAlign w:val="superscript"/>
    </w:rPr>
  </w:style>
  <w:style w:type="character" w:customStyle="1" w:styleId="290">
    <w:name w:val="普通文字 Char3"/>
    <w:qFormat/>
    <w:uiPriority w:val="0"/>
    <w:rPr>
      <w:rFonts w:ascii="宋体" w:hAnsi="Courier New" w:eastAsia="宋体" w:cs="Courier New"/>
      <w:kern w:val="2"/>
      <w:sz w:val="21"/>
      <w:szCs w:val="21"/>
      <w:lang w:val="en-US" w:eastAsia="zh-CN" w:bidi="ar-SA"/>
    </w:rPr>
  </w:style>
  <w:style w:type="character" w:customStyle="1" w:styleId="291">
    <w:name w:val="表格样式1 Char"/>
    <w:link w:val="292"/>
    <w:qFormat/>
    <w:uiPriority w:val="0"/>
    <w:rPr>
      <w:rFonts w:eastAsia="楷体_GB2312"/>
      <w:kern w:val="2"/>
      <w:sz w:val="24"/>
      <w:szCs w:val="21"/>
    </w:rPr>
  </w:style>
  <w:style w:type="paragraph" w:customStyle="1" w:styleId="292">
    <w:name w:val="表格样式1"/>
    <w:basedOn w:val="1"/>
    <w:link w:val="291"/>
    <w:qFormat/>
    <w:uiPriority w:val="0"/>
    <w:pPr>
      <w:adjustRightInd w:val="0"/>
      <w:snapToGrid w:val="0"/>
      <w:jc w:val="center"/>
    </w:pPr>
    <w:rPr>
      <w:rFonts w:eastAsia="楷体_GB2312"/>
      <w:sz w:val="24"/>
      <w:szCs w:val="21"/>
    </w:rPr>
  </w:style>
  <w:style w:type="character" w:customStyle="1" w:styleId="293">
    <w:name w:val="样式"/>
    <w:qFormat/>
    <w:uiPriority w:val="0"/>
    <w:rPr>
      <w:rFonts w:eastAsia="宋体"/>
      <w:sz w:val="24"/>
      <w:szCs w:val="21"/>
    </w:rPr>
  </w:style>
  <w:style w:type="character" w:customStyle="1" w:styleId="294">
    <w:name w:val="批注框文本 字符1"/>
    <w:qFormat/>
    <w:uiPriority w:val="0"/>
    <w:rPr>
      <w:kern w:val="2"/>
      <w:sz w:val="18"/>
      <w:szCs w:val="18"/>
    </w:rPr>
  </w:style>
  <w:style w:type="character" w:customStyle="1" w:styleId="295">
    <w:name w:val="fontstyle31"/>
    <w:qFormat/>
    <w:uiPriority w:val="0"/>
    <w:rPr>
      <w:rFonts w:hint="default" w:ascii="TimesNewRomanPSMT" w:hAnsi="TimesNewRomanPSMT"/>
      <w:color w:val="000000"/>
      <w:sz w:val="24"/>
      <w:szCs w:val="24"/>
    </w:rPr>
  </w:style>
  <w:style w:type="character" w:customStyle="1" w:styleId="296">
    <w:name w:val="副标题 字符1"/>
    <w:qFormat/>
    <w:uiPriority w:val="11"/>
    <w:rPr>
      <w:rFonts w:ascii="Cambria" w:hAnsi="Cambria"/>
      <w:sz w:val="24"/>
      <w:szCs w:val="24"/>
    </w:rPr>
  </w:style>
  <w:style w:type="character" w:customStyle="1" w:styleId="297">
    <w:name w:val="正文（天安） Char Char"/>
    <w:link w:val="298"/>
    <w:qFormat/>
    <w:uiPriority w:val="0"/>
    <w:rPr>
      <w:kern w:val="2"/>
      <w:sz w:val="24"/>
      <w:szCs w:val="24"/>
    </w:rPr>
  </w:style>
  <w:style w:type="paragraph" w:customStyle="1" w:styleId="298">
    <w:name w:val="正文（天安）"/>
    <w:basedOn w:val="1"/>
    <w:link w:val="297"/>
    <w:qFormat/>
    <w:uiPriority w:val="0"/>
    <w:pPr>
      <w:overflowPunct w:val="0"/>
      <w:autoSpaceDE w:val="0"/>
      <w:autoSpaceDN w:val="0"/>
      <w:adjustRightInd w:val="0"/>
      <w:snapToGrid w:val="0"/>
      <w:spacing w:before="93" w:beforeLines="30" w:after="93" w:afterLines="30" w:line="360" w:lineRule="auto"/>
      <w:ind w:firstLine="200" w:firstLineChars="200"/>
      <w:textAlignment w:val="baseline"/>
    </w:pPr>
    <w:rPr>
      <w:sz w:val="24"/>
    </w:rPr>
  </w:style>
  <w:style w:type="character" w:customStyle="1" w:styleId="299">
    <w:name w:val="newszt1"/>
    <w:qFormat/>
    <w:uiPriority w:val="0"/>
    <w:rPr>
      <w:rFonts w:ascii="宋体" w:hAnsi="宋体" w:cs="宋体"/>
      <w:sz w:val="21"/>
      <w:szCs w:val="21"/>
    </w:rPr>
  </w:style>
  <w:style w:type="character" w:customStyle="1" w:styleId="300">
    <w:name w:val="bodytextnarrow1"/>
    <w:qFormat/>
    <w:uiPriority w:val="0"/>
    <w:rPr>
      <w:rFonts w:hint="default" w:ascii="Arial" w:hAnsi="Arial" w:cs="Arial"/>
      <w:color w:val="606060"/>
      <w:sz w:val="20"/>
      <w:szCs w:val="20"/>
    </w:rPr>
  </w:style>
  <w:style w:type="character" w:customStyle="1" w:styleId="301">
    <w:name w:val="环科院正文 Char"/>
    <w:link w:val="302"/>
    <w:qFormat/>
    <w:uiPriority w:val="0"/>
    <w:rPr>
      <w:rFonts w:hAnsi="宋体"/>
      <w:color w:val="000000"/>
      <w:kern w:val="2"/>
      <w:sz w:val="24"/>
      <w:szCs w:val="24"/>
    </w:rPr>
  </w:style>
  <w:style w:type="paragraph" w:customStyle="1" w:styleId="302">
    <w:name w:val="环科院正文"/>
    <w:basedOn w:val="1"/>
    <w:link w:val="301"/>
    <w:qFormat/>
    <w:uiPriority w:val="0"/>
    <w:pPr>
      <w:tabs>
        <w:tab w:val="left" w:pos="1620"/>
        <w:tab w:val="left" w:pos="1815"/>
      </w:tabs>
      <w:spacing w:line="360" w:lineRule="auto"/>
      <w:ind w:left="360"/>
    </w:pPr>
    <w:rPr>
      <w:rFonts w:hAnsi="宋体"/>
      <w:color w:val="000000"/>
      <w:sz w:val="24"/>
    </w:rPr>
  </w:style>
  <w:style w:type="character" w:customStyle="1" w:styleId="303">
    <w:name w:val="缩进正文 Char1"/>
    <w:link w:val="304"/>
    <w:qFormat/>
    <w:uiPriority w:val="0"/>
    <w:rPr>
      <w:rFonts w:cs="宋体"/>
      <w:kern w:val="2"/>
      <w:sz w:val="24"/>
    </w:rPr>
  </w:style>
  <w:style w:type="paragraph" w:customStyle="1" w:styleId="304">
    <w:name w:val="缩进正文"/>
    <w:basedOn w:val="1"/>
    <w:next w:val="1"/>
    <w:link w:val="303"/>
    <w:qFormat/>
    <w:uiPriority w:val="0"/>
    <w:pPr>
      <w:spacing w:line="360" w:lineRule="auto"/>
      <w:ind w:firstLine="482"/>
    </w:pPr>
    <w:rPr>
      <w:rFonts w:cs="宋体"/>
      <w:sz w:val="24"/>
      <w:szCs w:val="20"/>
    </w:rPr>
  </w:style>
  <w:style w:type="character" w:customStyle="1" w:styleId="305">
    <w:name w:val="正文内容 Char"/>
    <w:link w:val="306"/>
    <w:qFormat/>
    <w:uiPriority w:val="0"/>
    <w:rPr>
      <w:kern w:val="2"/>
      <w:sz w:val="24"/>
      <w:szCs w:val="24"/>
    </w:rPr>
  </w:style>
  <w:style w:type="paragraph" w:customStyle="1" w:styleId="306">
    <w:name w:val="正文内容"/>
    <w:link w:val="305"/>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307">
    <w:name w:val="报告 Char"/>
    <w:link w:val="308"/>
    <w:qFormat/>
    <w:uiPriority w:val="0"/>
    <w:rPr>
      <w:sz w:val="24"/>
    </w:rPr>
  </w:style>
  <w:style w:type="paragraph" w:customStyle="1" w:styleId="308">
    <w:name w:val="报告"/>
    <w:basedOn w:val="1"/>
    <w:link w:val="307"/>
    <w:qFormat/>
    <w:uiPriority w:val="0"/>
    <w:pPr>
      <w:autoSpaceDE w:val="0"/>
      <w:autoSpaceDN w:val="0"/>
      <w:adjustRightInd w:val="0"/>
      <w:spacing w:line="360" w:lineRule="auto"/>
      <w:ind w:firstLine="505"/>
      <w:jc w:val="left"/>
      <w:textAlignment w:val="baseline"/>
    </w:pPr>
    <w:rPr>
      <w:kern w:val="0"/>
      <w:sz w:val="24"/>
      <w:szCs w:val="20"/>
    </w:rPr>
  </w:style>
  <w:style w:type="character" w:customStyle="1" w:styleId="309">
    <w:name w:val="pt91"/>
    <w:qFormat/>
    <w:uiPriority w:val="0"/>
    <w:rPr>
      <w:spacing w:val="285"/>
      <w:sz w:val="18"/>
      <w:szCs w:val="18"/>
    </w:rPr>
  </w:style>
  <w:style w:type="paragraph" w:customStyle="1" w:styleId="310">
    <w:name w:val="表图标题"/>
    <w:basedOn w:val="311"/>
    <w:qFormat/>
    <w:uiPriority w:val="0"/>
    <w:pPr>
      <w:spacing w:line="312" w:lineRule="auto"/>
      <w:ind w:firstLine="0" w:firstLineChars="0"/>
      <w:jc w:val="center"/>
    </w:pPr>
    <w:rPr>
      <w:b/>
    </w:rPr>
  </w:style>
  <w:style w:type="paragraph" w:styleId="311">
    <w:name w:val="List Paragraph"/>
    <w:basedOn w:val="1"/>
    <w:qFormat/>
    <w:uiPriority w:val="1"/>
    <w:pPr>
      <w:ind w:firstLine="420" w:firstLineChars="200"/>
    </w:pPr>
  </w:style>
  <w:style w:type="paragraph" w:customStyle="1" w:styleId="312">
    <w:name w:val="表"/>
    <w:basedOn w:val="1"/>
    <w:qFormat/>
    <w:uiPriority w:val="0"/>
    <w:pPr>
      <w:snapToGrid w:val="0"/>
      <w:spacing w:line="360" w:lineRule="exact"/>
      <w:jc w:val="center"/>
    </w:pPr>
    <w:rPr>
      <w:spacing w:val="2"/>
      <w:szCs w:val="20"/>
    </w:rPr>
  </w:style>
  <w:style w:type="paragraph" w:customStyle="1" w:styleId="313">
    <w:name w:val="正文文本 21"/>
    <w:basedOn w:val="1"/>
    <w:qFormat/>
    <w:uiPriority w:val="0"/>
    <w:pPr>
      <w:adjustRightInd w:val="0"/>
      <w:spacing w:line="360" w:lineRule="auto"/>
      <w:ind w:firstLine="567"/>
      <w:textAlignment w:val="baseline"/>
    </w:pPr>
    <w:rPr>
      <w:rFonts w:ascii="宋体"/>
      <w:sz w:val="28"/>
      <w:szCs w:val="20"/>
    </w:rPr>
  </w:style>
  <w:style w:type="paragraph" w:customStyle="1" w:styleId="314">
    <w:name w:val="TOC 标题1"/>
    <w:basedOn w:val="2"/>
    <w:next w:val="1"/>
    <w:qFormat/>
    <w:uiPriority w:val="39"/>
    <w:pPr>
      <w:widowControl/>
      <w:overflowPunct/>
      <w:snapToGrid/>
      <w:spacing w:before="240" w:after="60" w:line="240" w:lineRule="auto"/>
      <w:ind w:left="0" w:firstLine="0"/>
      <w:jc w:val="left"/>
      <w:outlineLvl w:val="9"/>
    </w:pPr>
    <w:rPr>
      <w:rFonts w:ascii="Cambria" w:hAnsi="Cambria" w:eastAsia="宋体"/>
      <w:color w:val="auto"/>
      <w:kern w:val="32"/>
      <w:sz w:val="32"/>
      <w:szCs w:val="32"/>
    </w:rPr>
  </w:style>
  <w:style w:type="paragraph" w:customStyle="1" w:styleId="315">
    <w:name w:val="小标题无段前4磅"/>
    <w:basedOn w:val="1"/>
    <w:qFormat/>
    <w:uiPriority w:val="0"/>
    <w:pPr>
      <w:adjustRightInd w:val="0"/>
      <w:snapToGrid w:val="0"/>
      <w:spacing w:line="360" w:lineRule="auto"/>
      <w:ind w:left="20" w:leftChars="20" w:right="20" w:rightChars="20"/>
    </w:pPr>
    <w:rPr>
      <w:rFonts w:ascii="宋体" w:hAnsi="宋体" w:cs="宋体"/>
      <w:bCs/>
      <w:kern w:val="0"/>
      <w:sz w:val="24"/>
      <w:szCs w:val="20"/>
    </w:rPr>
  </w:style>
  <w:style w:type="paragraph" w:customStyle="1" w:styleId="316">
    <w:name w:val="3"/>
    <w:basedOn w:val="1"/>
    <w:next w:val="311"/>
    <w:qFormat/>
    <w:uiPriority w:val="34"/>
    <w:pPr>
      <w:ind w:firstLine="420" w:firstLineChars="200"/>
    </w:pPr>
    <w:rPr>
      <w:sz w:val="32"/>
    </w:rPr>
  </w:style>
  <w:style w:type="paragraph" w:customStyle="1" w:styleId="317">
    <w:name w:val="Char Char7"/>
    <w:basedOn w:val="1"/>
    <w:qFormat/>
    <w:uiPriority w:val="0"/>
    <w:pPr>
      <w:snapToGrid w:val="0"/>
      <w:spacing w:line="360" w:lineRule="auto"/>
      <w:ind w:firstLine="529" w:firstLineChars="200"/>
    </w:pPr>
    <w:rPr>
      <w:rFonts w:ascii="宋体" w:hAnsi="宋体"/>
      <w:b/>
    </w:rPr>
  </w:style>
  <w:style w:type="paragraph" w:customStyle="1" w:styleId="318">
    <w:name w:val="正文部分"/>
    <w:basedOn w:val="1"/>
    <w:qFormat/>
    <w:uiPriority w:val="0"/>
    <w:pPr>
      <w:spacing w:line="480" w:lineRule="exact"/>
      <w:ind w:firstLine="1446" w:firstLineChars="200"/>
    </w:pPr>
    <w:rPr>
      <w:sz w:val="24"/>
    </w:rPr>
  </w:style>
  <w:style w:type="paragraph" w:customStyle="1" w:styleId="319">
    <w:name w:val="Char2"/>
    <w:basedOn w:val="1"/>
    <w:qFormat/>
    <w:uiPriority w:val="0"/>
    <w:pPr>
      <w:widowControl/>
      <w:spacing w:line="360" w:lineRule="auto"/>
      <w:ind w:firstLine="200" w:firstLineChars="200"/>
      <w:jc w:val="left"/>
    </w:pPr>
    <w:rPr>
      <w:rFonts w:ascii="宋体" w:hAnsi="宋体" w:cs="宋体"/>
      <w:kern w:val="0"/>
      <w:sz w:val="24"/>
    </w:rPr>
  </w:style>
  <w:style w:type="paragraph" w:customStyle="1" w:styleId="320">
    <w:name w:val="_Style 22"/>
    <w:basedOn w:val="1"/>
    <w:next w:val="1"/>
    <w:qFormat/>
    <w:uiPriority w:val="0"/>
    <w:pPr>
      <w:widowControl/>
      <w:spacing w:line="360" w:lineRule="auto"/>
      <w:ind w:firstLine="200" w:firstLineChars="200"/>
      <w:jc w:val="left"/>
    </w:pPr>
    <w:rPr>
      <w:rFonts w:ascii="Calibri" w:hAnsi="Calibri"/>
      <w:kern w:val="0"/>
      <w:sz w:val="24"/>
      <w:szCs w:val="20"/>
    </w:rPr>
  </w:style>
  <w:style w:type="paragraph" w:customStyle="1" w:styleId="321">
    <w:name w:val="报告书表格"/>
    <w:basedOn w:val="1"/>
    <w:qFormat/>
    <w:uiPriority w:val="0"/>
    <w:pPr>
      <w:adjustRightInd w:val="0"/>
      <w:snapToGrid w:val="0"/>
      <w:jc w:val="center"/>
      <w:textAlignment w:val="baseline"/>
    </w:pPr>
    <w:rPr>
      <w:kern w:val="0"/>
      <w:szCs w:val="20"/>
    </w:rPr>
  </w:style>
  <w:style w:type="paragraph" w:customStyle="1" w:styleId="32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3">
    <w:name w:val="威顿报告正文"/>
    <w:basedOn w:val="1"/>
    <w:qFormat/>
    <w:uiPriority w:val="0"/>
    <w:pPr>
      <w:adjustRightInd w:val="0"/>
      <w:snapToGrid w:val="0"/>
      <w:spacing w:before="25" w:beforeLines="25" w:line="440" w:lineRule="exact"/>
      <w:ind w:firstLine="200" w:firstLineChars="200"/>
    </w:pPr>
    <w:rPr>
      <w:color w:val="000000"/>
      <w:sz w:val="24"/>
    </w:rPr>
  </w:style>
  <w:style w:type="paragraph" w:customStyle="1" w:styleId="324">
    <w:name w:val="普通文字"/>
    <w:basedOn w:val="1"/>
    <w:qFormat/>
    <w:uiPriority w:val="0"/>
    <w:pPr>
      <w:widowControl/>
      <w:autoSpaceDE w:val="0"/>
      <w:autoSpaceDN w:val="0"/>
      <w:adjustRightInd w:val="0"/>
      <w:spacing w:line="351" w:lineRule="atLeast"/>
      <w:ind w:firstLine="419"/>
      <w:jc w:val="left"/>
    </w:pPr>
    <w:rPr>
      <w:rFonts w:ascii="宋体" w:hAnsi="Calibri" w:cs="宋体"/>
      <w:color w:val="000000"/>
      <w:kern w:val="0"/>
      <w:sz w:val="24"/>
      <w:szCs w:val="21"/>
      <w:lang w:val="zh-CN"/>
    </w:rPr>
  </w:style>
  <w:style w:type="paragraph" w:customStyle="1" w:styleId="325">
    <w:name w:val="正文aa"/>
    <w:basedOn w:val="1"/>
    <w:qFormat/>
    <w:uiPriority w:val="0"/>
    <w:pPr>
      <w:spacing w:line="360" w:lineRule="auto"/>
    </w:pPr>
    <w:rPr>
      <w:rFonts w:ascii="Calibri" w:hAnsi="Calibri" w:cs="Calibri"/>
      <w:sz w:val="24"/>
      <w:szCs w:val="20"/>
    </w:rPr>
  </w:style>
  <w:style w:type="paragraph" w:customStyle="1" w:styleId="326">
    <w:name w:val="c标题3"/>
    <w:qFormat/>
    <w:uiPriority w:val="0"/>
    <w:pPr>
      <w:adjustRightInd w:val="0"/>
      <w:snapToGrid w:val="0"/>
      <w:spacing w:line="500" w:lineRule="exact"/>
    </w:pPr>
    <w:rPr>
      <w:rFonts w:ascii="Calibri" w:hAnsi="Calibri" w:eastAsia="黑体" w:cs="Arial"/>
      <w:bCs/>
      <w:color w:val="000000"/>
      <w:kern w:val="44"/>
      <w:sz w:val="24"/>
      <w:szCs w:val="24"/>
      <w:lang w:val="en-US" w:eastAsia="zh-CN" w:bidi="ar-SA"/>
    </w:rPr>
  </w:style>
  <w:style w:type="paragraph" w:customStyle="1" w:styleId="327">
    <w:name w:val="图表表题"/>
    <w:basedOn w:val="1"/>
    <w:qFormat/>
    <w:uiPriority w:val="0"/>
    <w:pPr>
      <w:adjustRightInd w:val="0"/>
      <w:snapToGrid w:val="0"/>
      <w:spacing w:line="520" w:lineRule="exact"/>
      <w:ind w:firstLine="420" w:firstLineChars="200"/>
      <w:jc w:val="center"/>
    </w:pPr>
    <w:rPr>
      <w:rFonts w:eastAsia="黑体"/>
      <w:szCs w:val="21"/>
    </w:rPr>
  </w:style>
  <w:style w:type="paragraph" w:customStyle="1" w:styleId="328">
    <w:name w:val="默认段落字体 Para Char Char Char Char Char Char Char"/>
    <w:basedOn w:val="1"/>
    <w:qFormat/>
    <w:uiPriority w:val="0"/>
    <w:pPr>
      <w:ind w:firstLine="200" w:firstLineChars="200"/>
    </w:pPr>
    <w:rPr>
      <w:rFonts w:ascii="Tahoma" w:hAnsi="Tahoma" w:eastAsia="楷体_GB2312"/>
      <w:sz w:val="28"/>
    </w:rPr>
  </w:style>
  <w:style w:type="paragraph" w:customStyle="1" w:styleId="329">
    <w:name w:val="表头1-1"/>
    <w:basedOn w:val="1"/>
    <w:qFormat/>
    <w:uiPriority w:val="0"/>
    <w:pPr>
      <w:widowControl/>
      <w:spacing w:line="360" w:lineRule="auto"/>
      <w:jc w:val="center"/>
    </w:pPr>
    <w:rPr>
      <w:rFonts w:ascii="Calibri" w:hAnsi="Calibri"/>
      <w:b/>
      <w:kern w:val="0"/>
      <w:sz w:val="24"/>
    </w:rPr>
  </w:style>
  <w:style w:type="paragraph" w:customStyle="1" w:styleId="330">
    <w:name w:val="敏感表"/>
    <w:basedOn w:val="1"/>
    <w:next w:val="1"/>
    <w:qFormat/>
    <w:uiPriority w:val="0"/>
    <w:pPr>
      <w:topLinePunct/>
      <w:adjustRightInd w:val="0"/>
      <w:spacing w:line="240" w:lineRule="atLeast"/>
      <w:jc w:val="center"/>
      <w:textAlignment w:val="bottom"/>
    </w:pPr>
    <w:rPr>
      <w:kern w:val="0"/>
      <w:szCs w:val="20"/>
    </w:rPr>
  </w:style>
  <w:style w:type="character" w:customStyle="1" w:styleId="331">
    <w:name w:val="HTML 预设格式 字符3"/>
    <w:qFormat/>
    <w:uiPriority w:val="0"/>
    <w:rPr>
      <w:rFonts w:ascii="Courier New" w:hAnsi="Courier New" w:cs="Courier New"/>
      <w:kern w:val="2"/>
    </w:rPr>
  </w:style>
  <w:style w:type="paragraph" w:customStyle="1" w:styleId="332">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章标题"/>
    <w:next w:val="4"/>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34">
    <w:name w:val="标准"/>
    <w:basedOn w:val="1"/>
    <w:qFormat/>
    <w:uiPriority w:val="0"/>
    <w:pPr>
      <w:adjustRightInd w:val="0"/>
      <w:spacing w:line="312" w:lineRule="atLeast"/>
      <w:jc w:val="center"/>
      <w:textAlignment w:val="baseline"/>
    </w:pPr>
    <w:rPr>
      <w:kern w:val="0"/>
      <w:szCs w:val="20"/>
    </w:rPr>
  </w:style>
  <w:style w:type="paragraph" w:customStyle="1" w:styleId="335">
    <w:name w:val="表格正文11"/>
    <w:basedOn w:val="1"/>
    <w:qFormat/>
    <w:uiPriority w:val="0"/>
    <w:pPr>
      <w:widowControl/>
      <w:spacing w:line="360" w:lineRule="exact"/>
      <w:jc w:val="center"/>
    </w:pPr>
    <w:rPr>
      <w:rFonts w:ascii="Calibri" w:hAnsi="Calibri"/>
      <w:kern w:val="0"/>
      <w:sz w:val="24"/>
      <w:szCs w:val="21"/>
    </w:rPr>
  </w:style>
  <w:style w:type="paragraph" w:customStyle="1" w:styleId="336">
    <w:name w:val="五级条标题"/>
    <w:basedOn w:val="337"/>
    <w:next w:val="4"/>
    <w:qFormat/>
    <w:uiPriority w:val="0"/>
    <w:pPr>
      <w:outlineLvl w:val="6"/>
    </w:pPr>
  </w:style>
  <w:style w:type="paragraph" w:customStyle="1" w:styleId="337">
    <w:name w:val="四级条标题"/>
    <w:basedOn w:val="338"/>
    <w:next w:val="4"/>
    <w:qFormat/>
    <w:uiPriority w:val="0"/>
    <w:pPr>
      <w:outlineLvl w:val="5"/>
    </w:pPr>
  </w:style>
  <w:style w:type="paragraph" w:customStyle="1" w:styleId="338">
    <w:name w:val="三级条标题"/>
    <w:basedOn w:val="339"/>
    <w:next w:val="4"/>
    <w:qFormat/>
    <w:uiPriority w:val="0"/>
    <w:pPr>
      <w:ind w:left="0"/>
      <w:outlineLvl w:val="4"/>
    </w:pPr>
  </w:style>
  <w:style w:type="paragraph" w:customStyle="1" w:styleId="339">
    <w:name w:val="二级条标题"/>
    <w:basedOn w:val="340"/>
    <w:next w:val="4"/>
    <w:qFormat/>
    <w:uiPriority w:val="0"/>
    <w:pPr>
      <w:spacing w:before="50" w:beforeLines="0" w:after="50" w:afterLines="0"/>
      <w:ind w:left="630"/>
      <w:outlineLvl w:val="3"/>
    </w:pPr>
  </w:style>
  <w:style w:type="paragraph" w:customStyle="1" w:styleId="340">
    <w:name w:val="一级条标题"/>
    <w:next w:val="4"/>
    <w:qFormat/>
    <w:uiPriority w:val="0"/>
    <w:pPr>
      <w:spacing w:before="156" w:beforeLines="50" w:after="156" w:afterLines="50"/>
      <w:ind w:left="315"/>
      <w:outlineLvl w:val="2"/>
    </w:pPr>
    <w:rPr>
      <w:rFonts w:ascii="黑体" w:hAnsi="Times New Roman" w:eastAsia="黑体" w:cs="Times New Roman"/>
      <w:sz w:val="21"/>
      <w:szCs w:val="21"/>
      <w:lang w:val="en-US" w:eastAsia="zh-CN" w:bidi="ar-SA"/>
    </w:rPr>
  </w:style>
  <w:style w:type="paragraph" w:customStyle="1" w:styleId="341">
    <w:name w:val="Char Char Char Char Char Char Char"/>
    <w:basedOn w:val="1"/>
    <w:qFormat/>
    <w:uiPriority w:val="0"/>
    <w:pPr>
      <w:widowControl/>
      <w:spacing w:after="160" w:line="240" w:lineRule="exact"/>
      <w:jc w:val="left"/>
    </w:pPr>
    <w:rPr>
      <w:szCs w:val="20"/>
    </w:rPr>
  </w:style>
  <w:style w:type="paragraph" w:customStyle="1" w:styleId="342">
    <w:name w:val="默认段落字体 Char Char Char Char Char"/>
    <w:basedOn w:val="1"/>
    <w:qFormat/>
    <w:uiPriority w:val="0"/>
    <w:rPr>
      <w:sz w:val="24"/>
    </w:rPr>
  </w:style>
  <w:style w:type="paragraph" w:customStyle="1" w:styleId="343">
    <w:name w:val="表格文字小"/>
    <w:basedOn w:val="20"/>
    <w:qFormat/>
    <w:uiPriority w:val="0"/>
    <w:pPr>
      <w:spacing w:line="400" w:lineRule="exact"/>
      <w:jc w:val="center"/>
    </w:pPr>
    <w:rPr>
      <w:rFonts w:ascii="Times New Roman" w:hAnsi="Times New Roman" w:cs="Courier New"/>
      <w:szCs w:val="20"/>
    </w:rPr>
  </w:style>
  <w:style w:type="paragraph" w:customStyle="1" w:styleId="344">
    <w:name w:val="样式 标题 2 + 首行缩进:  2 字符"/>
    <w:basedOn w:val="3"/>
    <w:next w:val="1"/>
    <w:qFormat/>
    <w:uiPriority w:val="0"/>
    <w:pPr>
      <w:keepNext/>
      <w:keepLines/>
      <w:adjustRightInd w:val="0"/>
      <w:snapToGrid w:val="0"/>
      <w:spacing w:before="50" w:beforeLines="50" w:after="50" w:afterLines="50" w:line="640" w:lineRule="exact"/>
      <w:ind w:left="578" w:hanging="578"/>
      <w:jc w:val="both"/>
    </w:pPr>
    <w:rPr>
      <w:rFonts w:ascii="宋体" w:hAnsi="宋体" w:cs="宋体"/>
      <w:kern w:val="0"/>
      <w:sz w:val="30"/>
    </w:rPr>
  </w:style>
  <w:style w:type="paragraph" w:customStyle="1" w:styleId="345">
    <w:name w:val="Char Char Char Char"/>
    <w:basedOn w:val="1"/>
    <w:qFormat/>
    <w:uiPriority w:val="0"/>
  </w:style>
  <w:style w:type="paragraph" w:customStyle="1" w:styleId="346">
    <w:name w:val="Char Char Char Char Char"/>
    <w:basedOn w:val="1"/>
    <w:next w:val="1"/>
    <w:qFormat/>
    <w:uiPriority w:val="0"/>
    <w:pPr>
      <w:spacing w:line="336" w:lineRule="auto"/>
      <w:ind w:firstLine="200" w:firstLineChars="200"/>
    </w:pPr>
    <w:rPr>
      <w:rFonts w:ascii="宋体" w:hAnsi="宋体" w:eastAsia="汉鼎简书宋" w:cs="宋体"/>
      <w:sz w:val="24"/>
    </w:rPr>
  </w:style>
  <w:style w:type="paragraph" w:customStyle="1" w:styleId="347">
    <w:name w:val="5表标题"/>
    <w:qFormat/>
    <w:uiPriority w:val="0"/>
    <w:pPr>
      <w:jc w:val="center"/>
    </w:pPr>
    <w:rPr>
      <w:rFonts w:ascii="Times New Roman" w:hAnsi="Times New Roman" w:eastAsia="宋体" w:cs="宋体"/>
      <w:b/>
      <w:bCs/>
      <w:kern w:val="2"/>
      <w:sz w:val="21"/>
      <w:lang w:val="en-US" w:eastAsia="zh-CN" w:bidi="ar-SA"/>
    </w:rPr>
  </w:style>
  <w:style w:type="paragraph" w:customStyle="1" w:styleId="348">
    <w:name w:val="Table Paragraph"/>
    <w:basedOn w:val="1"/>
    <w:qFormat/>
    <w:uiPriority w:val="1"/>
    <w:pPr>
      <w:autoSpaceDE w:val="0"/>
      <w:autoSpaceDN w:val="0"/>
      <w:adjustRightInd w:val="0"/>
      <w:jc w:val="left"/>
    </w:pPr>
    <w:rPr>
      <w:kern w:val="0"/>
      <w:sz w:val="24"/>
    </w:rPr>
  </w:style>
  <w:style w:type="paragraph" w:customStyle="1" w:styleId="349">
    <w:name w:val="正文修改"/>
    <w:qFormat/>
    <w:uiPriority w:val="0"/>
    <w:pPr>
      <w:adjustRightInd w:val="0"/>
      <w:spacing w:line="360" w:lineRule="auto"/>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35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报告正文"/>
    <w:basedOn w:val="1"/>
    <w:qFormat/>
    <w:uiPriority w:val="0"/>
    <w:pPr>
      <w:spacing w:line="520" w:lineRule="exact"/>
      <w:ind w:firstLine="600"/>
    </w:pPr>
  </w:style>
  <w:style w:type="paragraph" w:customStyle="1" w:styleId="352">
    <w:name w:val="正文2 Char Char Char Char Char Char Char Char Char Char Char Char1 Char Char Char Char Char Char Char Char1 Char Char Char Char Char Char"/>
    <w:basedOn w:val="1"/>
    <w:qFormat/>
    <w:uiPriority w:val="0"/>
    <w:pPr>
      <w:widowControl/>
      <w:spacing w:line="400" w:lineRule="exact"/>
      <w:jc w:val="center"/>
    </w:pPr>
  </w:style>
  <w:style w:type="paragraph" w:customStyle="1" w:styleId="353">
    <w:name w:val="Char211"/>
    <w:basedOn w:val="1"/>
    <w:qFormat/>
    <w:uiPriority w:val="0"/>
    <w:rPr>
      <w:rFonts w:ascii="宋体" w:hAnsi="宋体" w:cs="宋体"/>
      <w:b/>
      <w:color w:val="0000FF"/>
      <w:kern w:val="0"/>
      <w:sz w:val="24"/>
    </w:rPr>
  </w:style>
  <w:style w:type="paragraph" w:customStyle="1" w:styleId="354">
    <w:name w:val="Char Char1 Char Char Char Char"/>
    <w:basedOn w:val="1"/>
    <w:qFormat/>
    <w:uiPriority w:val="0"/>
    <w:pPr>
      <w:spacing w:line="560" w:lineRule="exact"/>
      <w:ind w:firstLine="200" w:firstLineChars="200"/>
    </w:pPr>
    <w:rPr>
      <w:rFonts w:ascii="宋体" w:hAnsi="宋体" w:cs="宋体"/>
      <w:sz w:val="28"/>
      <w:szCs w:val="28"/>
    </w:rPr>
  </w:style>
  <w:style w:type="paragraph" w:customStyle="1" w:styleId="355">
    <w:name w:val="Char1"/>
    <w:basedOn w:val="1"/>
    <w:qFormat/>
    <w:uiPriority w:val="0"/>
    <w:pPr>
      <w:keepNext/>
      <w:keepLines/>
      <w:tabs>
        <w:tab w:val="left" w:pos="2160"/>
      </w:tabs>
      <w:adjustRightInd w:val="0"/>
      <w:snapToGrid w:val="0"/>
      <w:spacing w:before="120" w:after="120" w:line="360" w:lineRule="auto"/>
      <w:ind w:left="2160" w:hanging="420"/>
      <w:outlineLvl w:val="3"/>
    </w:pPr>
    <w:rPr>
      <w:rFonts w:ascii="Arial" w:hAnsi="Arial"/>
      <w:bCs/>
      <w:kern w:val="0"/>
      <w:sz w:val="28"/>
      <w:szCs w:val="21"/>
    </w:rPr>
  </w:style>
  <w:style w:type="paragraph" w:customStyle="1" w:styleId="356">
    <w:name w:val="表格式"/>
    <w:basedOn w:val="28"/>
    <w:qFormat/>
    <w:uiPriority w:val="0"/>
    <w:pPr>
      <w:widowControl w:val="0"/>
      <w:spacing w:line="300" w:lineRule="exact"/>
      <w:jc w:val="center"/>
    </w:pPr>
    <w:rPr>
      <w:rFonts w:ascii="Times New Roman"/>
      <w:sz w:val="21"/>
    </w:rPr>
  </w:style>
  <w:style w:type="paragraph" w:customStyle="1" w:styleId="35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358">
    <w:name w:val="Default"/>
    <w:next w:val="2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59">
    <w:name w:val="文档结构图 字符2"/>
    <w:qFormat/>
    <w:uiPriority w:val="0"/>
    <w:rPr>
      <w:rFonts w:ascii="Microsoft YaHei UI" w:eastAsia="Microsoft YaHei UI"/>
      <w:kern w:val="2"/>
      <w:sz w:val="18"/>
      <w:szCs w:val="18"/>
    </w:rPr>
  </w:style>
  <w:style w:type="paragraph" w:customStyle="1" w:styleId="360">
    <w:name w:val="26磅正文"/>
    <w:basedOn w:val="1"/>
    <w:qFormat/>
    <w:uiPriority w:val="0"/>
    <w:pPr>
      <w:spacing w:line="520" w:lineRule="exact"/>
      <w:ind w:firstLine="480" w:firstLineChars="200"/>
    </w:pPr>
    <w:rPr>
      <w:rFonts w:ascii="宋体" w:hAnsi="宋体"/>
      <w:color w:val="000000"/>
      <w:sz w:val="24"/>
    </w:rPr>
  </w:style>
  <w:style w:type="paragraph" w:customStyle="1" w:styleId="361">
    <w:name w:val="健牛正文"/>
    <w:basedOn w:val="1"/>
    <w:qFormat/>
    <w:uiPriority w:val="0"/>
    <w:pPr>
      <w:spacing w:line="480" w:lineRule="exact"/>
      <w:ind w:firstLine="560" w:firstLineChars="200"/>
    </w:pPr>
    <w:rPr>
      <w:sz w:val="28"/>
      <w:szCs w:val="28"/>
    </w:rPr>
  </w:style>
  <w:style w:type="character" w:customStyle="1" w:styleId="362">
    <w:name w:val="引用 字符1"/>
    <w:qFormat/>
    <w:uiPriority w:val="99"/>
    <w:rPr>
      <w:i/>
      <w:iCs/>
      <w:color w:val="404040"/>
      <w:kern w:val="2"/>
      <w:sz w:val="21"/>
      <w:szCs w:val="24"/>
    </w:rPr>
  </w:style>
  <w:style w:type="paragraph" w:customStyle="1" w:styleId="3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4">
    <w:name w:val="正本AM"/>
    <w:basedOn w:val="1"/>
    <w:qFormat/>
    <w:uiPriority w:val="0"/>
    <w:pPr>
      <w:tabs>
        <w:tab w:val="left" w:pos="1021"/>
      </w:tabs>
      <w:snapToGrid w:val="0"/>
      <w:spacing w:line="360" w:lineRule="auto"/>
      <w:ind w:firstLine="480" w:firstLineChars="200"/>
    </w:pPr>
    <w:rPr>
      <w:sz w:val="24"/>
    </w:rPr>
  </w:style>
  <w:style w:type="paragraph" w:customStyle="1" w:styleId="365">
    <w:name w:val="表文"/>
    <w:basedOn w:val="1"/>
    <w:qFormat/>
    <w:uiPriority w:val="0"/>
    <w:pPr>
      <w:snapToGrid w:val="0"/>
      <w:jc w:val="center"/>
    </w:pPr>
    <w:rPr>
      <w:kern w:val="0"/>
      <w:position w:val="-24"/>
      <w:sz w:val="24"/>
      <w:szCs w:val="21"/>
    </w:rPr>
  </w:style>
  <w:style w:type="paragraph" w:customStyle="1" w:styleId="366">
    <w:name w:val="cnn"/>
    <w:basedOn w:val="1"/>
    <w:qFormat/>
    <w:uiPriority w:val="0"/>
    <w:pPr>
      <w:spacing w:line="500" w:lineRule="exact"/>
      <w:ind w:firstLine="200" w:firstLineChars="200"/>
    </w:pPr>
    <w:rPr>
      <w:sz w:val="28"/>
      <w:szCs w:val="20"/>
    </w:rPr>
  </w:style>
  <w:style w:type="paragraph" w:customStyle="1" w:styleId="36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68">
    <w:name w:val="样式 标题1+宋体 小四 加粗"/>
    <w:basedOn w:val="1"/>
    <w:qFormat/>
    <w:uiPriority w:val="0"/>
    <w:pPr>
      <w:spacing w:line="520" w:lineRule="exact"/>
      <w:ind w:firstLine="600" w:firstLineChars="200"/>
      <w:outlineLvl w:val="2"/>
    </w:pPr>
    <w:rPr>
      <w:b/>
    </w:rPr>
  </w:style>
  <w:style w:type="paragraph" w:customStyle="1" w:styleId="369">
    <w:name w:val="Char21"/>
    <w:basedOn w:val="1"/>
    <w:qFormat/>
    <w:uiPriority w:val="0"/>
    <w:rPr>
      <w:rFonts w:ascii="Calibri" w:hAnsi="Calibri" w:cs="宋体"/>
      <w:color w:val="000000"/>
      <w:sz w:val="24"/>
    </w:rPr>
  </w:style>
  <w:style w:type="paragraph" w:customStyle="1" w:styleId="370">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6表内文字 居中"/>
    <w:basedOn w:val="1"/>
    <w:qFormat/>
    <w:uiPriority w:val="0"/>
    <w:pPr>
      <w:adjustRightInd w:val="0"/>
      <w:spacing w:line="400" w:lineRule="exact"/>
      <w:jc w:val="center"/>
      <w:textAlignment w:val="baseline"/>
    </w:pPr>
    <w:rPr>
      <w:snapToGrid w:val="0"/>
      <w:kern w:val="0"/>
    </w:rPr>
  </w:style>
  <w:style w:type="paragraph" w:customStyle="1" w:styleId="372">
    <w:name w:val="表格内"/>
    <w:basedOn w:val="1"/>
    <w:qFormat/>
    <w:uiPriority w:val="0"/>
    <w:pPr>
      <w:spacing w:line="320" w:lineRule="exact"/>
      <w:jc w:val="center"/>
    </w:pPr>
    <w:rPr>
      <w:rFonts w:cs="Courier New"/>
      <w:kern w:val="0"/>
      <w:szCs w:val="21"/>
    </w:rPr>
  </w:style>
  <w:style w:type="paragraph" w:customStyle="1" w:styleId="373">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74">
    <w:name w:val="Char Char Char Char Char Char Char1"/>
    <w:basedOn w:val="1"/>
    <w:qFormat/>
    <w:uiPriority w:val="0"/>
  </w:style>
  <w:style w:type="paragraph" w:customStyle="1" w:styleId="375">
    <w:name w:val="李表格常用格式"/>
    <w:basedOn w:val="1"/>
    <w:qFormat/>
    <w:uiPriority w:val="0"/>
    <w:pPr>
      <w:widowControl/>
      <w:spacing w:line="320" w:lineRule="exact"/>
      <w:jc w:val="center"/>
    </w:pPr>
    <w:rPr>
      <w:rFonts w:ascii="Calibri" w:hAnsi="Calibri"/>
      <w:color w:val="000000"/>
      <w:kern w:val="0"/>
      <w:sz w:val="24"/>
      <w:szCs w:val="21"/>
    </w:rPr>
  </w:style>
  <w:style w:type="paragraph" w:customStyle="1" w:styleId="376">
    <w:name w:val="Char3"/>
    <w:basedOn w:val="1"/>
    <w:qFormat/>
    <w:uiPriority w:val="0"/>
    <w:pPr>
      <w:spacing w:line="560" w:lineRule="exact"/>
      <w:ind w:firstLine="200" w:firstLineChars="200"/>
    </w:pPr>
    <w:rPr>
      <w:rFonts w:ascii="宋体" w:hAnsi="宋体" w:cs="宋体"/>
      <w:sz w:val="28"/>
      <w:szCs w:val="28"/>
    </w:rPr>
  </w:style>
  <w:style w:type="paragraph" w:customStyle="1" w:styleId="377">
    <w:name w:val="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78">
    <w:name w:val="Char11"/>
    <w:basedOn w:val="1"/>
    <w:qFormat/>
    <w:uiPriority w:val="0"/>
    <w:pPr>
      <w:snapToGrid w:val="0"/>
      <w:spacing w:line="360" w:lineRule="auto"/>
      <w:ind w:firstLine="529" w:firstLineChars="200"/>
    </w:pPr>
    <w:rPr>
      <w:rFonts w:ascii="宋体" w:hAnsi="宋体"/>
      <w:b/>
    </w:rPr>
  </w:style>
  <w:style w:type="character" w:customStyle="1" w:styleId="379">
    <w:name w:val="正文文本 3 字符1"/>
    <w:qFormat/>
    <w:uiPriority w:val="0"/>
    <w:rPr>
      <w:kern w:val="2"/>
      <w:sz w:val="16"/>
      <w:szCs w:val="16"/>
    </w:rPr>
  </w:style>
  <w:style w:type="character" w:customStyle="1" w:styleId="380">
    <w:name w:val="正文文本 2 字符1"/>
    <w:qFormat/>
    <w:uiPriority w:val="0"/>
    <w:rPr>
      <w:kern w:val="2"/>
      <w:sz w:val="21"/>
      <w:szCs w:val="24"/>
    </w:rPr>
  </w:style>
  <w:style w:type="paragraph" w:customStyle="1" w:styleId="381">
    <w:name w:val="山焦报告正文"/>
    <w:basedOn w:val="1"/>
    <w:qFormat/>
    <w:uiPriority w:val="0"/>
    <w:pPr>
      <w:widowControl/>
      <w:snapToGrid w:val="0"/>
      <w:spacing w:beforeLines="25" w:line="440" w:lineRule="exact"/>
      <w:ind w:firstLine="200" w:firstLineChars="200"/>
      <w:jc w:val="left"/>
    </w:pPr>
    <w:rPr>
      <w:rFonts w:ascii="Calibri" w:hAnsi="Calibri"/>
      <w:color w:val="000000"/>
      <w:kern w:val="0"/>
      <w:sz w:val="24"/>
    </w:rPr>
  </w:style>
  <w:style w:type="paragraph" w:customStyle="1" w:styleId="382">
    <w:name w:val="表头1"/>
    <w:basedOn w:val="1"/>
    <w:next w:val="81"/>
    <w:qFormat/>
    <w:uiPriority w:val="0"/>
    <w:pPr>
      <w:spacing w:beforeLines="100"/>
      <w:jc w:val="center"/>
    </w:pPr>
    <w:rPr>
      <w:rFonts w:eastAsia="黑体"/>
      <w:szCs w:val="20"/>
    </w:rPr>
  </w:style>
  <w:style w:type="paragraph" w:customStyle="1" w:styleId="383">
    <w:name w:val="无间隔3"/>
    <w:qFormat/>
    <w:uiPriority w:val="0"/>
    <w:pPr>
      <w:spacing w:line="360" w:lineRule="exact"/>
      <w:jc w:val="center"/>
    </w:pPr>
    <w:rPr>
      <w:rFonts w:ascii="Calibri" w:hAnsi="Calibri" w:eastAsia="Times New Roman" w:cs="Times New Roman"/>
      <w:sz w:val="21"/>
      <w:szCs w:val="22"/>
      <w:lang w:val="en-US" w:eastAsia="zh-CN" w:bidi="ar-SA"/>
    </w:rPr>
  </w:style>
  <w:style w:type="paragraph" w:customStyle="1" w:styleId="384">
    <w:name w:val="Char Char Char1 Char"/>
    <w:basedOn w:val="1"/>
    <w:qFormat/>
    <w:uiPriority w:val="0"/>
    <w:pPr>
      <w:adjustRightInd w:val="0"/>
      <w:snapToGrid w:val="0"/>
      <w:ind w:left="-63" w:leftChars="-30" w:right="-63" w:rightChars="-30"/>
      <w:jc w:val="center"/>
    </w:pPr>
    <w:rPr>
      <w:rFonts w:eastAsia="仿宋_GB2312"/>
      <w:sz w:val="18"/>
      <w:szCs w:val="18"/>
    </w:rPr>
  </w:style>
  <w:style w:type="paragraph" w:customStyle="1" w:styleId="385">
    <w:name w:val="In Table"/>
    <w:basedOn w:val="1"/>
    <w:qFormat/>
    <w:uiPriority w:val="0"/>
    <w:pPr>
      <w:tabs>
        <w:tab w:val="left" w:pos="2200"/>
        <w:tab w:val="left" w:pos="3960"/>
        <w:tab w:val="left" w:pos="5280"/>
      </w:tabs>
      <w:spacing w:before="96" w:after="96" w:line="0" w:lineRule="atLeast"/>
      <w:jc w:val="center"/>
    </w:pPr>
    <w:rPr>
      <w:rFonts w:ascii="Tahoma" w:hAnsi="Tahoma" w:eastAsia="华文中宋"/>
      <w:szCs w:val="20"/>
    </w:rPr>
  </w:style>
  <w:style w:type="paragraph" w:customStyle="1" w:styleId="386">
    <w:name w:val="zxz5"/>
    <w:next w:val="1"/>
    <w:qFormat/>
    <w:uiPriority w:val="0"/>
    <w:pPr>
      <w:tabs>
        <w:tab w:val="left" w:pos="0"/>
      </w:tabs>
      <w:jc w:val="center"/>
    </w:pPr>
    <w:rPr>
      <w:rFonts w:ascii="Calibri" w:hAnsi="Calibri" w:eastAsia="宋体" w:cs="Times New Roman"/>
      <w:sz w:val="22"/>
      <w:szCs w:val="22"/>
      <w:lang w:val="en-US" w:eastAsia="zh-CN" w:bidi="ar-SA"/>
    </w:rPr>
  </w:style>
  <w:style w:type="paragraph" w:customStyle="1" w:styleId="387">
    <w:name w:val="表格样式2"/>
    <w:basedOn w:val="1"/>
    <w:qFormat/>
    <w:uiPriority w:val="0"/>
    <w:pPr>
      <w:widowControl/>
      <w:jc w:val="center"/>
    </w:pPr>
    <w:rPr>
      <w:color w:val="000000"/>
      <w:kern w:val="0"/>
      <w:szCs w:val="21"/>
    </w:rPr>
  </w:style>
  <w:style w:type="paragraph" w:customStyle="1" w:styleId="388">
    <w:name w:val="图表文字"/>
    <w:basedOn w:val="1"/>
    <w:qFormat/>
    <w:uiPriority w:val="0"/>
    <w:pPr>
      <w:spacing w:line="320" w:lineRule="exact"/>
      <w:jc w:val="center"/>
    </w:pPr>
    <w:rPr>
      <w:rFonts w:hAnsi="宋体"/>
      <w:spacing w:val="-6"/>
      <w:sz w:val="24"/>
    </w:rPr>
  </w:style>
  <w:style w:type="paragraph" w:customStyle="1" w:styleId="389">
    <w:name w:val="2 Char Char Char Char"/>
    <w:basedOn w:val="1"/>
    <w:qFormat/>
    <w:uiPriority w:val="0"/>
    <w:pPr>
      <w:widowControl/>
      <w:snapToGrid w:val="0"/>
      <w:spacing w:line="360" w:lineRule="auto"/>
      <w:ind w:firstLine="529" w:firstLineChars="200"/>
      <w:jc w:val="left"/>
    </w:pPr>
    <w:rPr>
      <w:rFonts w:ascii="宋体" w:hAnsi="宋体"/>
      <w:b/>
      <w:kern w:val="0"/>
      <w:sz w:val="24"/>
    </w:rPr>
  </w:style>
  <w:style w:type="paragraph" w:customStyle="1" w:styleId="390">
    <w:name w:val="Char Char Char Char1"/>
    <w:basedOn w:val="1"/>
    <w:qFormat/>
    <w:uiPriority w:val="0"/>
  </w:style>
  <w:style w:type="paragraph" w:customStyle="1" w:styleId="391">
    <w:name w:val="默认段落字体 Para Char"/>
    <w:basedOn w:val="1"/>
    <w:next w:val="1"/>
    <w:qFormat/>
    <w:uiPriority w:val="0"/>
    <w:pPr>
      <w:spacing w:line="360" w:lineRule="auto"/>
      <w:ind w:firstLine="200" w:firstLineChars="200"/>
    </w:pPr>
    <w:rPr>
      <w:rFonts w:ascii="宋体" w:hAnsi="宋体" w:cs="宋体"/>
      <w:sz w:val="24"/>
    </w:rPr>
  </w:style>
  <w:style w:type="paragraph" w:customStyle="1" w:styleId="392">
    <w:name w:val="流程图2"/>
    <w:basedOn w:val="1"/>
    <w:qFormat/>
    <w:uiPriority w:val="0"/>
    <w:pPr>
      <w:spacing w:before="40" w:line="280" w:lineRule="exact"/>
      <w:jc w:val="center"/>
    </w:pPr>
    <w:rPr>
      <w:szCs w:val="20"/>
    </w:rPr>
  </w:style>
  <w:style w:type="paragraph" w:customStyle="1" w:styleId="393">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新正文11"/>
    <w:basedOn w:val="1"/>
    <w:qFormat/>
    <w:uiPriority w:val="0"/>
    <w:pPr>
      <w:autoSpaceDE w:val="0"/>
      <w:autoSpaceDN w:val="0"/>
      <w:adjustRightInd w:val="0"/>
      <w:spacing w:line="480" w:lineRule="exact"/>
      <w:ind w:firstLine="200" w:firstLineChars="200"/>
      <w:jc w:val="left"/>
      <w:textAlignment w:val="baseline"/>
    </w:pPr>
    <w:rPr>
      <w:rFonts w:hAnsi="宋体"/>
      <w:sz w:val="24"/>
      <w:szCs w:val="20"/>
    </w:rPr>
  </w:style>
  <w:style w:type="paragraph" w:customStyle="1" w:styleId="395">
    <w:name w:val="_Style 8"/>
    <w:basedOn w:val="1"/>
    <w:qFormat/>
    <w:uiPriority w:val="0"/>
    <w:pPr>
      <w:widowControl/>
      <w:spacing w:after="160" w:line="240" w:lineRule="exact"/>
      <w:jc w:val="left"/>
    </w:pPr>
    <w:rPr>
      <w:rFonts w:ascii="Calibri" w:hAnsi="Calibri" w:cs="Calibri"/>
      <w:szCs w:val="21"/>
    </w:rPr>
  </w:style>
  <w:style w:type="paragraph" w:customStyle="1" w:styleId="396">
    <w:name w:val="正文文本缩进 21"/>
    <w:basedOn w:val="1"/>
    <w:qFormat/>
    <w:uiPriority w:val="0"/>
    <w:pPr>
      <w:adjustRightInd w:val="0"/>
      <w:spacing w:line="360" w:lineRule="auto"/>
      <w:ind w:firstLine="600"/>
      <w:jc w:val="left"/>
      <w:textAlignment w:val="baseline"/>
    </w:pPr>
    <w:rPr>
      <w:rFonts w:ascii="??¡§??"/>
      <w:kern w:val="0"/>
      <w:sz w:val="28"/>
      <w:szCs w:val="20"/>
    </w:rPr>
  </w:style>
  <w:style w:type="paragraph" w:customStyle="1" w:styleId="397">
    <w:name w:val="三"/>
    <w:basedOn w:val="1"/>
    <w:qFormat/>
    <w:uiPriority w:val="0"/>
    <w:pPr>
      <w:adjustRightInd w:val="0"/>
      <w:spacing w:line="360" w:lineRule="auto"/>
      <w:textAlignment w:val="baseline"/>
    </w:pPr>
    <w:rPr>
      <w:sz w:val="28"/>
      <w:szCs w:val="20"/>
    </w:rPr>
  </w:style>
  <w:style w:type="paragraph" w:customStyle="1" w:styleId="398">
    <w:name w:val="1"/>
    <w:basedOn w:val="1"/>
    <w:next w:val="1"/>
    <w:qFormat/>
    <w:uiPriority w:val="0"/>
    <w:pPr>
      <w:jc w:val="left"/>
    </w:pPr>
    <w:rPr>
      <w:b/>
      <w:bCs/>
    </w:rPr>
  </w:style>
  <w:style w:type="character" w:customStyle="1" w:styleId="399">
    <w:name w:val="注释标题 字符"/>
    <w:qFormat/>
    <w:uiPriority w:val="0"/>
    <w:rPr>
      <w:kern w:val="2"/>
      <w:sz w:val="21"/>
      <w:szCs w:val="24"/>
    </w:rPr>
  </w:style>
  <w:style w:type="paragraph" w:customStyle="1" w:styleId="400">
    <w:name w:val="列出段落2"/>
    <w:basedOn w:val="1"/>
    <w:qFormat/>
    <w:uiPriority w:val="99"/>
    <w:pPr>
      <w:adjustRightInd w:val="0"/>
      <w:ind w:firstLine="420" w:firstLineChars="200"/>
      <w:textAlignment w:val="baseline"/>
    </w:pPr>
    <w:rPr>
      <w:szCs w:val="20"/>
    </w:rPr>
  </w:style>
  <w:style w:type="paragraph" w:customStyle="1" w:styleId="401">
    <w:name w:val="表格正文"/>
    <w:basedOn w:val="1"/>
    <w:qFormat/>
    <w:uiPriority w:val="0"/>
    <w:pPr>
      <w:spacing w:line="360" w:lineRule="exact"/>
      <w:jc w:val="center"/>
    </w:pPr>
    <w:rPr>
      <w:rFonts w:ascii="Arial" w:hAnsi="Arial"/>
      <w:color w:val="000000"/>
    </w:rPr>
  </w:style>
  <w:style w:type="paragraph" w:customStyle="1" w:styleId="40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3">
    <w:name w:val="样式 标题3+宋体 小四 加粗"/>
    <w:basedOn w:val="1"/>
    <w:qFormat/>
    <w:uiPriority w:val="0"/>
    <w:pPr>
      <w:spacing w:line="520" w:lineRule="exact"/>
      <w:ind w:firstLine="600"/>
    </w:pPr>
    <w:rPr>
      <w:rFonts w:ascii="黑体" w:hAnsi="黑体" w:eastAsia="黑体" w:cs="黑体"/>
    </w:rPr>
  </w:style>
  <w:style w:type="paragraph" w:customStyle="1" w:styleId="404">
    <w:name w:val="表中正文居中"/>
    <w:qFormat/>
    <w:uiPriority w:val="0"/>
    <w:pPr>
      <w:spacing w:before="120" w:after="120" w:line="240" w:lineRule="atLeast"/>
      <w:jc w:val="center"/>
    </w:pPr>
    <w:rPr>
      <w:rFonts w:ascii="宋体" w:hAnsi="Times New Roman" w:eastAsia="宋体" w:cs="Times New Roman"/>
      <w:kern w:val="2"/>
      <w:sz w:val="21"/>
      <w:lang w:val="en-US" w:eastAsia="zh-CN" w:bidi="ar-SA"/>
    </w:rPr>
  </w:style>
  <w:style w:type="paragraph" w:customStyle="1" w:styleId="405">
    <w:name w:val="表格文字1"/>
    <w:basedOn w:val="1"/>
    <w:qFormat/>
    <w:uiPriority w:val="0"/>
    <w:pPr>
      <w:widowControl/>
      <w:snapToGrid w:val="0"/>
      <w:jc w:val="left"/>
    </w:pPr>
    <w:rPr>
      <w:rFonts w:ascii="Calibri" w:hAnsi="Calibri"/>
      <w:kern w:val="32"/>
      <w:sz w:val="24"/>
      <w:szCs w:val="20"/>
      <w:lang w:val="de-DE"/>
    </w:rPr>
  </w:style>
  <w:style w:type="character" w:customStyle="1" w:styleId="406">
    <w:name w:val="明显引用 字符1"/>
    <w:qFormat/>
    <w:uiPriority w:val="99"/>
    <w:rPr>
      <w:i/>
      <w:iCs/>
      <w:color w:val="4472C4"/>
      <w:kern w:val="2"/>
      <w:sz w:val="21"/>
      <w:szCs w:val="24"/>
    </w:rPr>
  </w:style>
  <w:style w:type="paragraph" w:customStyle="1" w:styleId="407">
    <w:name w:val="正文文字缩进"/>
    <w:basedOn w:val="1"/>
    <w:qFormat/>
    <w:uiPriority w:val="0"/>
    <w:pPr>
      <w:widowControl/>
      <w:spacing w:line="351" w:lineRule="atLeast"/>
      <w:ind w:firstLine="538"/>
      <w:textAlignment w:val="baseline"/>
    </w:pPr>
    <w:rPr>
      <w:color w:val="000000"/>
      <w:kern w:val="0"/>
      <w:sz w:val="28"/>
      <w:szCs w:val="20"/>
      <w:u w:color="000000"/>
    </w:rPr>
  </w:style>
  <w:style w:type="paragraph" w:customStyle="1" w:styleId="408">
    <w:name w:val="Char1 Char Char Char"/>
    <w:basedOn w:val="1"/>
    <w:qFormat/>
    <w:uiPriority w:val="0"/>
    <w:rPr>
      <w:szCs w:val="20"/>
    </w:rPr>
  </w:style>
  <w:style w:type="paragraph" w:customStyle="1" w:styleId="409">
    <w:name w:val="文字表格1"/>
    <w:qFormat/>
    <w:uiPriority w:val="0"/>
    <w:pPr>
      <w:widowControl w:val="0"/>
      <w:adjustRightInd w:val="0"/>
      <w:snapToGrid w:val="0"/>
      <w:spacing w:line="440" w:lineRule="exact"/>
      <w:jc w:val="center"/>
    </w:pPr>
    <w:rPr>
      <w:rFonts w:ascii="黑体" w:hAnsi="宋体" w:eastAsia="黑体" w:cs="Times New Roman"/>
      <w:kern w:val="2"/>
      <w:sz w:val="21"/>
      <w:szCs w:val="21"/>
      <w:lang w:val="en-US" w:eastAsia="zh-CN" w:bidi="ar-SA"/>
    </w:rPr>
  </w:style>
  <w:style w:type="paragraph" w:customStyle="1" w:styleId="410">
    <w:name w:val="文字"/>
    <w:basedOn w:val="1"/>
    <w:qFormat/>
    <w:uiPriority w:val="0"/>
    <w:pPr>
      <w:autoSpaceDE w:val="0"/>
      <w:autoSpaceDN w:val="0"/>
      <w:spacing w:line="500" w:lineRule="atLeast"/>
      <w:ind w:firstLine="200" w:firstLineChars="200"/>
    </w:pPr>
    <w:rPr>
      <w:sz w:val="28"/>
      <w:szCs w:val="28"/>
    </w:rPr>
  </w:style>
  <w:style w:type="paragraph" w:customStyle="1" w:styleId="411">
    <w:name w:val="样式3"/>
    <w:basedOn w:val="1"/>
    <w:qFormat/>
    <w:uiPriority w:val="0"/>
    <w:pPr>
      <w:spacing w:line="480" w:lineRule="exact"/>
      <w:ind w:firstLine="200" w:firstLineChars="200"/>
    </w:pPr>
    <w:rPr>
      <w:sz w:val="28"/>
      <w:szCs w:val="28"/>
    </w:rPr>
  </w:style>
  <w:style w:type="paragraph" w:customStyle="1" w:styleId="412">
    <w:name w:val="表格内文字"/>
    <w:basedOn w:val="1"/>
    <w:qFormat/>
    <w:uiPriority w:val="0"/>
    <w:pPr>
      <w:kinsoku w:val="0"/>
      <w:wordWrap w:val="0"/>
      <w:overflowPunct w:val="0"/>
      <w:jc w:val="center"/>
    </w:pPr>
    <w:rPr>
      <w:snapToGrid w:val="0"/>
      <w:kern w:val="0"/>
      <w:szCs w:val="20"/>
    </w:rPr>
  </w:style>
  <w:style w:type="paragraph" w:customStyle="1" w:styleId="413">
    <w:name w:val="特殊标题３"/>
    <w:basedOn w:val="1"/>
    <w:qFormat/>
    <w:uiPriority w:val="0"/>
    <w:pPr>
      <w:autoSpaceDE w:val="0"/>
      <w:autoSpaceDN w:val="0"/>
      <w:adjustRightInd w:val="0"/>
      <w:spacing w:line="360" w:lineRule="auto"/>
      <w:textAlignment w:val="baseline"/>
    </w:pPr>
    <w:rPr>
      <w:kern w:val="0"/>
      <w:sz w:val="28"/>
    </w:rPr>
  </w:style>
  <w:style w:type="paragraph" w:customStyle="1" w:styleId="414">
    <w:name w:val="表内正文"/>
    <w:basedOn w:val="1"/>
    <w:qFormat/>
    <w:uiPriority w:val="0"/>
    <w:pPr>
      <w:ind w:firstLine="200" w:firstLineChars="200"/>
    </w:pPr>
    <w:rPr>
      <w:rFonts w:ascii="仿宋_GB2312" w:hAnsi="宋体" w:eastAsia="仿宋_GB2312"/>
      <w:sz w:val="28"/>
    </w:rPr>
  </w:style>
  <w:style w:type="character" w:customStyle="1" w:styleId="415">
    <w:name w:val="标题 字符1"/>
    <w:qFormat/>
    <w:uiPriority w:val="0"/>
    <w:rPr>
      <w:rFonts w:ascii="等线 Light" w:hAnsi="等线 Light" w:cs="Times New Roman"/>
      <w:b/>
      <w:bCs/>
      <w:kern w:val="2"/>
      <w:sz w:val="32"/>
      <w:szCs w:val="32"/>
    </w:rPr>
  </w:style>
  <w:style w:type="paragraph" w:customStyle="1" w:styleId="416">
    <w:name w:val="_Style 86"/>
    <w:basedOn w:val="1"/>
    <w:next w:val="1"/>
    <w:qFormat/>
    <w:uiPriority w:val="0"/>
    <w:pPr>
      <w:ind w:left="420" w:leftChars="200"/>
    </w:pPr>
    <w:rPr>
      <w:rFonts w:ascii="Calibri" w:hAnsi="Calibri" w:cs="Calibri"/>
      <w:szCs w:val="20"/>
    </w:rPr>
  </w:style>
  <w:style w:type="paragraph" w:customStyle="1" w:styleId="417">
    <w:name w:val="Char Char Char1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418">
    <w:name w:val="表格中文字信用"/>
    <w:basedOn w:val="1"/>
    <w:qFormat/>
    <w:uiPriority w:val="0"/>
    <w:pPr>
      <w:jc w:val="center"/>
    </w:pPr>
    <w:rPr>
      <w:szCs w:val="21"/>
    </w:rPr>
  </w:style>
  <w:style w:type="paragraph" w:customStyle="1" w:styleId="419">
    <w:name w:val="样式 结论+综上所述"/>
    <w:basedOn w:val="1"/>
    <w:qFormat/>
    <w:uiPriority w:val="0"/>
    <w:pPr>
      <w:spacing w:line="520" w:lineRule="exact"/>
      <w:ind w:firstLine="600"/>
    </w:pPr>
    <w:rPr>
      <w:rFonts w:ascii="黑体" w:hAnsi="黑体" w:eastAsia="黑体"/>
    </w:rPr>
  </w:style>
  <w:style w:type="character" w:customStyle="1" w:styleId="420">
    <w:name w:val="正文文本缩进 3 字符2"/>
    <w:qFormat/>
    <w:uiPriority w:val="0"/>
    <w:rPr>
      <w:kern w:val="2"/>
      <w:sz w:val="16"/>
      <w:szCs w:val="16"/>
    </w:rPr>
  </w:style>
  <w:style w:type="paragraph" w:customStyle="1" w:styleId="421">
    <w:name w:val="Char Char Char Char Char Char Char Char Char Char Char Char Char Char Char Char"/>
    <w:basedOn w:val="1"/>
    <w:semiHidden/>
    <w:qFormat/>
    <w:uiPriority w:val="0"/>
    <w:pPr>
      <w:adjustRightInd w:val="0"/>
      <w:snapToGrid w:val="0"/>
      <w:spacing w:line="360" w:lineRule="auto"/>
      <w:ind w:firstLine="200" w:firstLineChars="200"/>
    </w:pPr>
    <w:rPr>
      <w:rFonts w:eastAsia="楷体_GB2312"/>
      <w:sz w:val="24"/>
    </w:rPr>
  </w:style>
  <w:style w:type="paragraph" w:customStyle="1" w:styleId="422">
    <w:name w:val="Char Char2 Char Char"/>
    <w:basedOn w:val="1"/>
    <w:qFormat/>
    <w:uiPriority w:val="0"/>
    <w:pPr>
      <w:snapToGrid w:val="0"/>
      <w:spacing w:line="360" w:lineRule="auto"/>
      <w:ind w:firstLine="529" w:firstLineChars="200"/>
    </w:pPr>
    <w:rPr>
      <w:rFonts w:ascii="宋体" w:hAnsi="宋体" w:cs="Calibri"/>
      <w:b/>
    </w:rPr>
  </w:style>
  <w:style w:type="paragraph" w:customStyle="1" w:styleId="423">
    <w:name w:val="正文标准样式"/>
    <w:basedOn w:val="1"/>
    <w:qFormat/>
    <w:uiPriority w:val="0"/>
    <w:pPr>
      <w:adjustRightInd w:val="0"/>
      <w:spacing w:line="300" w:lineRule="auto"/>
      <w:ind w:firstLine="482"/>
    </w:pPr>
    <w:rPr>
      <w:kern w:val="0"/>
      <w:sz w:val="24"/>
    </w:rPr>
  </w:style>
  <w:style w:type="paragraph" w:customStyle="1" w:styleId="424">
    <w:name w:val="xl31"/>
    <w:basedOn w:val="1"/>
    <w:qFormat/>
    <w:uiPriority w:val="0"/>
    <w:pPr>
      <w:widowControl/>
      <w:pBdr>
        <w:top w:val="single" w:color="auto" w:sz="4" w:space="0"/>
        <w:left w:val="single" w:color="auto" w:sz="4" w:space="0"/>
        <w:bottom w:val="single" w:color="auto" w:sz="8" w:space="0"/>
        <w:right w:val="single" w:color="auto" w:sz="8" w:space="0"/>
      </w:pBdr>
      <w:autoSpaceDE w:val="0"/>
      <w:autoSpaceDN w:val="0"/>
      <w:spacing w:before="100" w:beforeAutospacing="1" w:after="100" w:afterAutospacing="1" w:line="520" w:lineRule="exact"/>
      <w:ind w:firstLine="480" w:firstLineChars="200"/>
      <w:jc w:val="center"/>
    </w:pPr>
    <w:rPr>
      <w:rFonts w:ascii="宋体" w:hAnsi="宋体"/>
      <w:kern w:val="0"/>
      <w:sz w:val="24"/>
    </w:rPr>
  </w:style>
  <w:style w:type="paragraph" w:customStyle="1" w:styleId="42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426">
    <w:name w:val="样式 正文文本缩进 + 行距: 1.5 倍行距"/>
    <w:basedOn w:val="1"/>
    <w:qFormat/>
    <w:uiPriority w:val="0"/>
    <w:pPr>
      <w:spacing w:after="120" w:line="360" w:lineRule="auto"/>
      <w:ind w:left="90" w:leftChars="32" w:firstLine="560" w:firstLineChars="200"/>
    </w:pPr>
    <w:rPr>
      <w:rFonts w:cs="宋体"/>
    </w:rPr>
  </w:style>
  <w:style w:type="character" w:customStyle="1" w:styleId="427">
    <w:name w:val="副标题 字符2"/>
    <w:qFormat/>
    <w:uiPriority w:val="0"/>
    <w:rPr>
      <w:rFonts w:ascii="等线 Light" w:hAnsi="等线 Light" w:cs="Times New Roman"/>
      <w:b/>
      <w:bCs/>
      <w:kern w:val="28"/>
      <w:sz w:val="32"/>
      <w:szCs w:val="32"/>
    </w:rPr>
  </w:style>
  <w:style w:type="paragraph" w:customStyle="1" w:styleId="428">
    <w:name w:val="A常用文字"/>
    <w:basedOn w:val="1"/>
    <w:qFormat/>
    <w:uiPriority w:val="0"/>
    <w:pPr>
      <w:adjustRightInd w:val="0"/>
      <w:snapToGrid w:val="0"/>
      <w:spacing w:line="440" w:lineRule="exact"/>
      <w:ind w:firstLine="567"/>
    </w:pPr>
    <w:rPr>
      <w:sz w:val="28"/>
      <w:szCs w:val="20"/>
    </w:rPr>
  </w:style>
  <w:style w:type="paragraph" w:customStyle="1" w:styleId="429">
    <w:name w:val="标题2（p）"/>
    <w:basedOn w:val="1"/>
    <w:qFormat/>
    <w:uiPriority w:val="0"/>
    <w:pPr>
      <w:keepNext/>
      <w:keepLines/>
      <w:widowControl/>
      <w:autoSpaceDE w:val="0"/>
      <w:autoSpaceDN w:val="0"/>
      <w:spacing w:before="30" w:beforeLines="30" w:after="30" w:afterLines="30" w:line="460" w:lineRule="exact"/>
      <w:ind w:firstLine="200" w:firstLineChars="200"/>
      <w:jc w:val="left"/>
      <w:outlineLvl w:val="0"/>
    </w:pPr>
    <w:rPr>
      <w:rFonts w:ascii="黑体" w:hAnsi="宋体" w:eastAsia="黑体" w:cs="Arial"/>
      <w:b/>
      <w:bCs/>
      <w:kern w:val="0"/>
      <w:sz w:val="32"/>
      <w:szCs w:val="28"/>
    </w:rPr>
  </w:style>
  <w:style w:type="paragraph" w:customStyle="1" w:styleId="430">
    <w:name w:val="表内字"/>
    <w:qFormat/>
    <w:uiPriority w:val="0"/>
    <w:pPr>
      <w:spacing w:line="312" w:lineRule="auto"/>
      <w:jc w:val="center"/>
    </w:pPr>
    <w:rPr>
      <w:rFonts w:ascii="Times New Roman" w:hAnsi="Times New Roman" w:eastAsia="宋体" w:cs="Times New Roman"/>
      <w:color w:val="000000"/>
      <w:sz w:val="21"/>
      <w:lang w:val="en-US" w:eastAsia="zh-CN" w:bidi="ar-SA"/>
    </w:rPr>
  </w:style>
  <w:style w:type="paragraph" w:customStyle="1" w:styleId="431">
    <w:name w:val="Char Char Char Char Char Char Char Char Char Char Char Char Char Char Char Char1"/>
    <w:basedOn w:val="1"/>
    <w:semiHidden/>
    <w:qFormat/>
    <w:uiPriority w:val="0"/>
    <w:pPr>
      <w:adjustRightInd w:val="0"/>
      <w:snapToGrid w:val="0"/>
      <w:spacing w:line="360" w:lineRule="auto"/>
      <w:ind w:firstLine="200" w:firstLineChars="200"/>
    </w:pPr>
    <w:rPr>
      <w:rFonts w:eastAsia="楷体_GB2312"/>
      <w:sz w:val="24"/>
    </w:rPr>
  </w:style>
  <w:style w:type="paragraph" w:customStyle="1" w:styleId="432">
    <w:name w:val="二级无"/>
    <w:basedOn w:val="339"/>
    <w:qFormat/>
    <w:uiPriority w:val="0"/>
    <w:pPr>
      <w:tabs>
        <w:tab w:val="left" w:pos="1260"/>
      </w:tabs>
      <w:spacing w:before="0" w:after="0"/>
      <w:ind w:left="0" w:hanging="420"/>
    </w:pPr>
    <w:rPr>
      <w:rFonts w:ascii="宋体" w:eastAsia="宋体"/>
    </w:rPr>
  </w:style>
  <w:style w:type="paragraph" w:customStyle="1" w:styleId="433">
    <w:name w:val="样式 表头"/>
    <w:basedOn w:val="1"/>
    <w:qFormat/>
    <w:uiPriority w:val="0"/>
    <w:pPr>
      <w:spacing w:line="400" w:lineRule="exact"/>
      <w:jc w:val="center"/>
    </w:pPr>
    <w:rPr>
      <w:b/>
    </w:rPr>
  </w:style>
  <w:style w:type="paragraph" w:customStyle="1" w:styleId="434">
    <w:name w:val="5-正文"/>
    <w:basedOn w:val="1"/>
    <w:qFormat/>
    <w:uiPriority w:val="0"/>
    <w:pPr>
      <w:snapToGrid w:val="0"/>
      <w:spacing w:line="480" w:lineRule="exact"/>
      <w:ind w:firstLine="200" w:firstLineChars="200"/>
    </w:pPr>
    <w:rPr>
      <w:sz w:val="24"/>
      <w:szCs w:val="20"/>
    </w:rPr>
  </w:style>
  <w:style w:type="paragraph" w:customStyle="1" w:styleId="435">
    <w:name w:val="段落"/>
    <w:basedOn w:val="1"/>
    <w:qFormat/>
    <w:uiPriority w:val="0"/>
    <w:pPr>
      <w:adjustRightInd w:val="0"/>
      <w:snapToGrid w:val="0"/>
      <w:spacing w:line="360" w:lineRule="auto"/>
      <w:ind w:firstLine="464" w:firstLineChars="200"/>
      <w:jc w:val="left"/>
    </w:pPr>
    <w:rPr>
      <w:spacing w:val="-4"/>
      <w:sz w:val="24"/>
    </w:rPr>
  </w:style>
  <w:style w:type="paragraph" w:customStyle="1" w:styleId="436">
    <w:name w:val="表文字"/>
    <w:basedOn w:val="1"/>
    <w:qFormat/>
    <w:uiPriority w:val="0"/>
    <w:pPr>
      <w:overflowPunct w:val="0"/>
      <w:autoSpaceDE w:val="0"/>
      <w:autoSpaceDN w:val="0"/>
      <w:adjustRightInd w:val="0"/>
      <w:spacing w:line="240" w:lineRule="atLeast"/>
      <w:jc w:val="center"/>
      <w:textAlignment w:val="baseline"/>
    </w:pPr>
    <w:rPr>
      <w:spacing w:val="-6"/>
      <w:kern w:val="0"/>
      <w:sz w:val="24"/>
    </w:rPr>
  </w:style>
  <w:style w:type="paragraph" w:customStyle="1" w:styleId="437">
    <w:name w:val="样式 标题2+宋体 小四 加粗"/>
    <w:basedOn w:val="1"/>
    <w:qFormat/>
    <w:uiPriority w:val="0"/>
    <w:pPr>
      <w:spacing w:line="520" w:lineRule="exact"/>
      <w:ind w:firstLine="600"/>
      <w:outlineLvl w:val="3"/>
    </w:pPr>
    <w:rPr>
      <w:rFonts w:eastAsia="黑体"/>
    </w:rPr>
  </w:style>
  <w:style w:type="paragraph" w:customStyle="1" w:styleId="438">
    <w:name w:val="表中文字"/>
    <w:basedOn w:val="1"/>
    <w:qFormat/>
    <w:uiPriority w:val="0"/>
    <w:pPr>
      <w:spacing w:line="240" w:lineRule="atLeast"/>
      <w:jc w:val="center"/>
    </w:pPr>
  </w:style>
  <w:style w:type="paragraph" w:customStyle="1" w:styleId="439">
    <w:name w:val="Char Char2 Char Char1"/>
    <w:basedOn w:val="1"/>
    <w:qFormat/>
    <w:uiPriority w:val="0"/>
    <w:pPr>
      <w:snapToGrid w:val="0"/>
      <w:spacing w:line="360" w:lineRule="auto"/>
      <w:ind w:firstLine="529" w:firstLineChars="200"/>
    </w:pPr>
    <w:rPr>
      <w:rFonts w:ascii="宋体" w:hAnsi="宋体"/>
      <w:b/>
    </w:rPr>
  </w:style>
  <w:style w:type="paragraph" w:customStyle="1" w:styleId="440">
    <w:name w:val="正文2"/>
    <w:basedOn w:val="1"/>
    <w:qFormat/>
    <w:uiPriority w:val="0"/>
    <w:pPr>
      <w:adjustRightInd w:val="0"/>
      <w:snapToGrid w:val="0"/>
      <w:spacing w:line="440" w:lineRule="atLeast"/>
      <w:ind w:firstLine="510"/>
    </w:pPr>
    <w:rPr>
      <w:szCs w:val="20"/>
    </w:rPr>
  </w:style>
  <w:style w:type="paragraph" w:customStyle="1" w:styleId="441">
    <w:name w:val="表格01 Char Char Char"/>
    <w:basedOn w:val="1"/>
    <w:qFormat/>
    <w:uiPriority w:val="0"/>
    <w:pPr>
      <w:adjustRightInd w:val="0"/>
      <w:snapToGrid w:val="0"/>
      <w:spacing w:before="120" w:line="480" w:lineRule="exact"/>
      <w:jc w:val="center"/>
      <w:textAlignment w:val="baseline"/>
    </w:pPr>
    <w:rPr>
      <w:rFonts w:cs="宋体"/>
      <w:snapToGrid w:val="0"/>
      <w:spacing w:val="-2"/>
      <w:kern w:val="0"/>
      <w:sz w:val="28"/>
      <w:szCs w:val="28"/>
    </w:rPr>
  </w:style>
  <w:style w:type="paragraph" w:customStyle="1" w:styleId="442">
    <w:name w:val="1文章"/>
    <w:basedOn w:val="1"/>
    <w:qFormat/>
    <w:uiPriority w:val="0"/>
    <w:pPr>
      <w:snapToGrid w:val="0"/>
      <w:spacing w:line="360" w:lineRule="auto"/>
      <w:ind w:firstLine="573"/>
    </w:pPr>
    <w:rPr>
      <w:rFonts w:eastAsia="仿宋_GB2312"/>
      <w:sz w:val="28"/>
      <w:szCs w:val="20"/>
    </w:rPr>
  </w:style>
  <w:style w:type="paragraph" w:customStyle="1" w:styleId="443">
    <w:name w:val="Char Char71"/>
    <w:basedOn w:val="1"/>
    <w:qFormat/>
    <w:uiPriority w:val="0"/>
    <w:pPr>
      <w:snapToGrid w:val="0"/>
      <w:spacing w:line="360" w:lineRule="auto"/>
      <w:ind w:firstLine="529" w:firstLineChars="200"/>
    </w:pPr>
    <w:rPr>
      <w:rFonts w:ascii="宋体" w:hAnsi="宋体"/>
      <w:b/>
    </w:rPr>
  </w:style>
  <w:style w:type="paragraph" w:customStyle="1" w:styleId="444">
    <w:name w:val="正文文本 (2)"/>
    <w:basedOn w:val="1"/>
    <w:qFormat/>
    <w:uiPriority w:val="0"/>
    <w:pPr>
      <w:shd w:val="clear" w:color="auto" w:fill="FFFFFF"/>
      <w:spacing w:line="466" w:lineRule="exact"/>
      <w:jc w:val="distribute"/>
    </w:pPr>
    <w:rPr>
      <w:rFonts w:ascii="MingLiU" w:hAnsi="MingLiU" w:eastAsia="MingLiU" w:cs="MingLiU"/>
      <w:sz w:val="22"/>
    </w:rPr>
  </w:style>
  <w:style w:type="paragraph" w:customStyle="1" w:styleId="445">
    <w:name w:val="B3"/>
    <w:basedOn w:val="1"/>
    <w:qFormat/>
    <w:uiPriority w:val="0"/>
    <w:pPr>
      <w:spacing w:line="480" w:lineRule="exact"/>
      <w:jc w:val="left"/>
      <w:outlineLvl w:val="2"/>
    </w:pPr>
    <w:rPr>
      <w:rFonts w:ascii="黑体" w:hAnsi="宋体" w:eastAsia="黑体"/>
      <w:sz w:val="24"/>
    </w:rPr>
  </w:style>
  <w:style w:type="paragraph" w:customStyle="1" w:styleId="446">
    <w:name w:val="样式 表内 + 小四 行距: 单倍行距 左  0 字符 首行缩进:  0 字符"/>
    <w:basedOn w:val="114"/>
    <w:qFormat/>
    <w:uiPriority w:val="0"/>
    <w:pPr>
      <w:ind w:left="0" w:leftChars="0" w:firstLine="0" w:firstLineChars="0"/>
    </w:pPr>
    <w:rPr>
      <w:rFonts w:cs="宋体"/>
      <w:bCs w:val="0"/>
      <w:szCs w:val="20"/>
    </w:rPr>
  </w:style>
  <w:style w:type="paragraph" w:customStyle="1" w:styleId="447">
    <w:name w:val="图文框"/>
    <w:basedOn w:val="1"/>
    <w:qFormat/>
    <w:uiPriority w:val="0"/>
    <w:pPr>
      <w:jc w:val="center"/>
    </w:pPr>
    <w:rPr>
      <w:rFonts w:eastAsia="仿宋_GB2312"/>
      <w:sz w:val="24"/>
    </w:rPr>
  </w:style>
  <w:style w:type="paragraph" w:customStyle="1" w:styleId="448">
    <w:name w:val="新利正文"/>
    <w:basedOn w:val="1"/>
    <w:qFormat/>
    <w:uiPriority w:val="0"/>
    <w:pPr>
      <w:spacing w:beforeLines="25" w:line="440" w:lineRule="exact"/>
      <w:ind w:firstLine="560"/>
    </w:pPr>
    <w:rPr>
      <w:color w:val="000000"/>
      <w:sz w:val="24"/>
    </w:rPr>
  </w:style>
  <w:style w:type="paragraph" w:customStyle="1" w:styleId="449">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450">
    <w:name w:val="zzz正文"/>
    <w:basedOn w:val="24"/>
    <w:qFormat/>
    <w:uiPriority w:val="0"/>
    <w:pPr>
      <w:spacing w:line="360" w:lineRule="auto"/>
      <w:ind w:firstLine="480" w:firstLineChars="200"/>
    </w:pPr>
    <w:rPr>
      <w:rFonts w:cs="宋体"/>
      <w:color w:val="000000"/>
      <w:kern w:val="2"/>
      <w:sz w:val="24"/>
    </w:rPr>
  </w:style>
  <w:style w:type="paragraph" w:customStyle="1" w:styleId="451">
    <w:name w:val="样式 样式 正文文本 + 左侧:  2 字符 + 首行缩进:  2 字符"/>
    <w:basedOn w:val="1"/>
    <w:qFormat/>
    <w:uiPriority w:val="0"/>
    <w:pPr>
      <w:ind w:firstLine="200" w:firstLineChars="200"/>
    </w:pPr>
    <w:rPr>
      <w:rFonts w:cs="宋体"/>
      <w:sz w:val="28"/>
    </w:rPr>
  </w:style>
  <w:style w:type="paragraph" w:customStyle="1" w:styleId="452">
    <w:name w:val="日期1"/>
    <w:basedOn w:val="1"/>
    <w:next w:val="1"/>
    <w:qFormat/>
    <w:uiPriority w:val="0"/>
    <w:pPr>
      <w:widowControl/>
      <w:adjustRightInd w:val="0"/>
      <w:textAlignment w:val="baseline"/>
    </w:pPr>
    <w:rPr>
      <w:kern w:val="0"/>
      <w:sz w:val="28"/>
      <w:szCs w:val="20"/>
    </w:rPr>
  </w:style>
  <w:style w:type="paragraph" w:customStyle="1" w:styleId="453">
    <w:name w:val="流程图1"/>
    <w:basedOn w:val="1"/>
    <w:qFormat/>
    <w:uiPriority w:val="0"/>
    <w:pPr>
      <w:spacing w:before="40" w:line="280" w:lineRule="exact"/>
      <w:jc w:val="center"/>
    </w:pPr>
    <w:rPr>
      <w:sz w:val="24"/>
      <w:szCs w:val="20"/>
    </w:rPr>
  </w:style>
  <w:style w:type="paragraph" w:customStyle="1" w:styleId="454">
    <w:name w:val="5表格"/>
    <w:basedOn w:val="1"/>
    <w:qFormat/>
    <w:uiPriority w:val="0"/>
    <w:pPr>
      <w:widowControl/>
      <w:adjustRightInd w:val="0"/>
      <w:snapToGrid w:val="0"/>
      <w:spacing w:line="360" w:lineRule="exact"/>
      <w:jc w:val="center"/>
    </w:pPr>
    <w:rPr>
      <w:rFonts w:ascii="宋体" w:hAnsi="宋体" w:cs="宋体"/>
      <w:kern w:val="0"/>
      <w:sz w:val="24"/>
      <w:szCs w:val="21"/>
    </w:rPr>
  </w:style>
  <w:style w:type="paragraph" w:customStyle="1" w:styleId="455">
    <w:name w:val="style74"/>
    <w:basedOn w:val="1"/>
    <w:qFormat/>
    <w:uiPriority w:val="0"/>
    <w:pPr>
      <w:widowControl/>
      <w:spacing w:before="100" w:beforeAutospacing="1" w:after="100" w:afterAutospacing="1" w:line="560" w:lineRule="atLeast"/>
      <w:ind w:firstLine="600"/>
      <w:jc w:val="left"/>
    </w:pPr>
    <w:rPr>
      <w:rFonts w:ascii="宋体" w:hAnsi="宋体"/>
      <w:kern w:val="0"/>
      <w:szCs w:val="21"/>
    </w:rPr>
  </w:style>
  <w:style w:type="paragraph" w:customStyle="1" w:styleId="456">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457">
    <w:name w:val="默认段落字体 Para Char Char Char Char"/>
    <w:basedOn w:val="1"/>
    <w:qFormat/>
    <w:uiPriority w:val="0"/>
    <w:pPr>
      <w:spacing w:line="360" w:lineRule="auto"/>
      <w:ind w:firstLine="200" w:firstLineChars="200"/>
    </w:pPr>
    <w:rPr>
      <w:rFonts w:ascii="宋体" w:hAnsi="宋体" w:cs="宋体"/>
      <w:sz w:val="24"/>
    </w:rPr>
  </w:style>
  <w:style w:type="paragraph" w:customStyle="1" w:styleId="458">
    <w:name w:val="Char Char Char Char Char Char Char Char Char Char Char Char Char Char Char Char Char Char1 Char Char Char Char Char Char Char Char Char Char Char Char Char Char Char Char"/>
    <w:basedOn w:val="1"/>
    <w:next w:val="1"/>
    <w:qFormat/>
    <w:uiPriority w:val="0"/>
    <w:pPr>
      <w:spacing w:line="360" w:lineRule="auto"/>
      <w:ind w:firstLine="200" w:firstLineChars="200"/>
    </w:pPr>
    <w:rPr>
      <w:rFonts w:ascii="宋体" w:hAnsi="宋体" w:cs="宋体"/>
      <w:snapToGrid w:val="0"/>
      <w:kern w:val="0"/>
      <w:sz w:val="24"/>
    </w:rPr>
  </w:style>
  <w:style w:type="paragraph" w:customStyle="1" w:styleId="459">
    <w:name w:val="表中正文"/>
    <w:basedOn w:val="1"/>
    <w:qFormat/>
    <w:uiPriority w:val="0"/>
    <w:pPr>
      <w:widowControl/>
      <w:tabs>
        <w:tab w:val="left" w:pos="958"/>
        <w:tab w:val="left" w:pos="7320"/>
        <w:tab w:val="left" w:pos="8160"/>
      </w:tabs>
      <w:adjustRightInd w:val="0"/>
      <w:spacing w:line="360" w:lineRule="atLeast"/>
      <w:ind w:right="113"/>
      <w:jc w:val="center"/>
      <w:textAlignment w:val="baseline"/>
    </w:pPr>
    <w:rPr>
      <w:rFonts w:ascii="宋体" w:hAnsi="宋体"/>
      <w:spacing w:val="6"/>
      <w:kern w:val="20"/>
      <w:sz w:val="24"/>
    </w:rPr>
  </w:style>
  <w:style w:type="paragraph" w:customStyle="1" w:styleId="460">
    <w:name w:val="Char Char Char Char Char Char1 Char Char Char Char Char Char Char Char Char Char Char Char Char"/>
    <w:basedOn w:val="1"/>
    <w:qFormat/>
    <w:uiPriority w:val="0"/>
  </w:style>
  <w:style w:type="paragraph" w:customStyle="1" w:styleId="461">
    <w:name w:val="默认段落字体 Para Char Char Char Char Char Char Char Char Char Char Char Char Char"/>
    <w:basedOn w:val="1"/>
    <w:qFormat/>
    <w:uiPriority w:val="0"/>
    <w:rPr>
      <w:rFonts w:ascii="宋体" w:hAnsi="宋体"/>
      <w:sz w:val="24"/>
    </w:rPr>
  </w:style>
  <w:style w:type="paragraph" w:customStyle="1" w:styleId="462">
    <w:name w:val="Char Char Char Char Char Char Char Char Char Char Char Char Char"/>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463">
    <w:name w:val="xl25"/>
    <w:basedOn w:val="1"/>
    <w:qFormat/>
    <w:uiPriority w:val="0"/>
    <w:pPr>
      <w:widowControl/>
      <w:spacing w:before="100" w:beforeAutospacing="1" w:after="100" w:afterAutospacing="1"/>
      <w:jc w:val="center"/>
      <w:textAlignment w:val="top"/>
    </w:pPr>
    <w:rPr>
      <w:kern w:val="0"/>
      <w:szCs w:val="21"/>
    </w:rPr>
  </w:style>
  <w:style w:type="paragraph" w:customStyle="1" w:styleId="464">
    <w:name w:val="正文文本缩进 31"/>
    <w:basedOn w:val="1"/>
    <w:qFormat/>
    <w:uiPriority w:val="0"/>
    <w:pPr>
      <w:adjustRightInd w:val="0"/>
      <w:spacing w:line="360" w:lineRule="auto"/>
      <w:ind w:firstLine="600"/>
      <w:textAlignment w:val="baseline"/>
    </w:pPr>
    <w:rPr>
      <w:rFonts w:ascii="??¡§??"/>
      <w:kern w:val="0"/>
      <w:sz w:val="28"/>
      <w:szCs w:val="20"/>
    </w:rPr>
  </w:style>
  <w:style w:type="paragraph" w:customStyle="1" w:styleId="465">
    <w:name w:val="表格内部的标题"/>
    <w:basedOn w:val="1"/>
    <w:qFormat/>
    <w:uiPriority w:val="0"/>
    <w:pPr>
      <w:keepNext/>
      <w:keepLines/>
      <w:jc w:val="center"/>
    </w:pPr>
    <w:rPr>
      <w:rFonts w:ascii="黑体" w:eastAsia="黑体" w:cs="黑体"/>
      <w:sz w:val="20"/>
      <w:szCs w:val="20"/>
    </w:rPr>
  </w:style>
  <w:style w:type="paragraph" w:customStyle="1" w:styleId="466">
    <w:name w:val="Char1 Char Char Char1"/>
    <w:basedOn w:val="1"/>
    <w:qFormat/>
    <w:uiPriority w:val="0"/>
    <w:pPr>
      <w:snapToGrid w:val="0"/>
      <w:spacing w:line="360" w:lineRule="auto"/>
      <w:ind w:firstLine="529" w:firstLineChars="200"/>
    </w:pPr>
    <w:rPr>
      <w:rFonts w:ascii="宋体" w:hAnsi="宋体"/>
      <w:b/>
    </w:rPr>
  </w:style>
  <w:style w:type="paragraph" w:customStyle="1" w:styleId="467">
    <w:name w:val="表注"/>
    <w:basedOn w:val="1"/>
    <w:qFormat/>
    <w:uiPriority w:val="0"/>
    <w:pPr>
      <w:spacing w:line="300" w:lineRule="exact"/>
      <w:ind w:firstLine="199" w:firstLineChars="95"/>
    </w:pPr>
    <w:rPr>
      <w:rFonts w:ascii="宋体" w:hAnsi="宋体"/>
      <w:szCs w:val="21"/>
    </w:rPr>
  </w:style>
  <w:style w:type="paragraph" w:customStyle="1" w:styleId="468">
    <w:name w:val="F正文"/>
    <w:qFormat/>
    <w:uiPriority w:val="0"/>
    <w:pPr>
      <w:widowControl w:val="0"/>
      <w:adjustRightInd w:val="0"/>
      <w:spacing w:line="360" w:lineRule="atLeast"/>
      <w:textAlignment w:val="baseline"/>
    </w:pPr>
    <w:rPr>
      <w:rFonts w:ascii="Times New Roman" w:hAnsi="Times New Roman" w:eastAsia="宋体" w:cs="Times New Roman"/>
      <w:spacing w:val="12"/>
      <w:sz w:val="24"/>
      <w:lang w:val="en-US" w:eastAsia="zh-CN" w:bidi="ar-SA"/>
    </w:rPr>
  </w:style>
  <w:style w:type="paragraph" w:customStyle="1" w:styleId="469">
    <w:name w:val="biaoti"/>
    <w:basedOn w:val="1"/>
    <w:qFormat/>
    <w:uiPriority w:val="0"/>
    <w:pPr>
      <w:widowControl/>
      <w:spacing w:before="100" w:beforeAutospacing="1" w:after="100" w:afterAutospacing="1"/>
      <w:jc w:val="left"/>
    </w:pPr>
    <w:rPr>
      <w:rFonts w:hint="eastAsia" w:ascii="κ" w:hAnsi="宋体" w:eastAsia="κ"/>
      <w:b/>
      <w:bCs/>
      <w:color w:val="000000"/>
      <w:kern w:val="0"/>
      <w:sz w:val="27"/>
      <w:szCs w:val="27"/>
    </w:rPr>
  </w:style>
  <w:style w:type="paragraph" w:customStyle="1" w:styleId="470">
    <w:name w:val="正文文本 31"/>
    <w:basedOn w:val="1"/>
    <w:qFormat/>
    <w:uiPriority w:val="0"/>
    <w:pPr>
      <w:adjustRightInd w:val="0"/>
      <w:jc w:val="left"/>
      <w:textAlignment w:val="baseline"/>
    </w:pPr>
    <w:rPr>
      <w:sz w:val="52"/>
      <w:szCs w:val="20"/>
    </w:rPr>
  </w:style>
  <w:style w:type="paragraph" w:customStyle="1" w:styleId="471">
    <w:name w:val="xl35"/>
    <w:basedOn w:val="1"/>
    <w:qFormat/>
    <w:uiPriority w:val="0"/>
    <w:pPr>
      <w:widowControl/>
      <w:pBdr>
        <w:top w:val="single" w:color="auto" w:sz="4" w:space="0"/>
        <w:left w:val="single" w:color="auto" w:sz="4" w:space="0"/>
        <w:bottom w:val="single" w:color="auto" w:sz="8" w:space="0"/>
        <w:right w:val="single" w:color="auto" w:sz="8" w:space="0"/>
      </w:pBdr>
      <w:autoSpaceDE w:val="0"/>
      <w:autoSpaceDN w:val="0"/>
      <w:spacing w:before="100" w:beforeAutospacing="1" w:after="100" w:afterAutospacing="1" w:line="520" w:lineRule="exact"/>
      <w:ind w:firstLine="480" w:firstLineChars="200"/>
      <w:jc w:val="center"/>
    </w:pPr>
    <w:rPr>
      <w:rFonts w:ascii="宋体" w:hAnsi="宋体"/>
      <w:kern w:val="0"/>
      <w:sz w:val="24"/>
    </w:rPr>
  </w:style>
  <w:style w:type="paragraph" w:customStyle="1" w:styleId="472">
    <w:name w:val="封面2"/>
    <w:basedOn w:val="1"/>
    <w:next w:val="1"/>
    <w:qFormat/>
    <w:uiPriority w:val="0"/>
    <w:pPr>
      <w:spacing w:line="360" w:lineRule="auto"/>
      <w:jc w:val="center"/>
    </w:pPr>
    <w:rPr>
      <w:rFonts w:eastAsia="隶书"/>
      <w:b/>
      <w:color w:val="FF0000"/>
      <w:sz w:val="44"/>
      <w:szCs w:val="20"/>
    </w:rPr>
  </w:style>
  <w:style w:type="paragraph" w:customStyle="1" w:styleId="473">
    <w:name w:val="纯文本1"/>
    <w:basedOn w:val="1"/>
    <w:qFormat/>
    <w:uiPriority w:val="0"/>
    <w:rPr>
      <w:rFonts w:ascii="宋体" w:hAnsi="Courier New" w:cs="Calibri"/>
      <w:color w:val="000000"/>
      <w:u w:color="000000"/>
    </w:rPr>
  </w:style>
  <w:style w:type="paragraph" w:customStyle="1" w:styleId="474">
    <w:name w:val="文档结构图1"/>
    <w:basedOn w:val="1"/>
    <w:qFormat/>
    <w:uiPriority w:val="0"/>
    <w:pPr>
      <w:shd w:val="clear" w:color="auto" w:fill="000080"/>
      <w:adjustRightInd w:val="0"/>
      <w:spacing w:line="360" w:lineRule="atLeast"/>
      <w:jc w:val="left"/>
      <w:textAlignment w:val="baseline"/>
    </w:pPr>
    <w:rPr>
      <w:kern w:val="0"/>
      <w:sz w:val="24"/>
      <w:szCs w:val="20"/>
    </w:rPr>
  </w:style>
  <w:style w:type="paragraph" w:customStyle="1" w:styleId="475">
    <w:name w:val="表标题1"/>
    <w:next w:val="349"/>
    <w:qFormat/>
    <w:uiPriority w:val="0"/>
    <w:pPr>
      <w:spacing w:line="360" w:lineRule="auto"/>
      <w:outlineLvl w:val="0"/>
    </w:pPr>
    <w:rPr>
      <w:rFonts w:ascii="Times New Roman" w:hAnsi="Times New Roman" w:eastAsia="黑体" w:cs="Times New Roman"/>
      <w:b/>
      <w:bCs/>
      <w:kern w:val="2"/>
      <w:sz w:val="32"/>
      <w:szCs w:val="32"/>
      <w:lang w:val="en-US" w:eastAsia="zh-CN" w:bidi="ar-SA"/>
    </w:rPr>
  </w:style>
  <w:style w:type="paragraph" w:customStyle="1" w:styleId="476">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477">
    <w:name w:val="表格文字L13"/>
    <w:basedOn w:val="1"/>
    <w:qFormat/>
    <w:uiPriority w:val="0"/>
    <w:pPr>
      <w:adjustRightInd w:val="0"/>
      <w:snapToGrid w:val="0"/>
      <w:spacing w:line="260" w:lineRule="exact"/>
      <w:jc w:val="center"/>
    </w:pPr>
    <w:rPr>
      <w:color w:val="000000"/>
      <w:kern w:val="32"/>
      <w:szCs w:val="20"/>
    </w:rPr>
  </w:style>
  <w:style w:type="paragraph" w:customStyle="1" w:styleId="478">
    <w:name w:val="二级无标题条"/>
    <w:basedOn w:val="1"/>
    <w:qFormat/>
    <w:uiPriority w:val="0"/>
  </w:style>
  <w:style w:type="paragraph" w:styleId="479">
    <w:name w:val="No Spacing"/>
    <w:basedOn w:val="1"/>
    <w:qFormat/>
    <w:uiPriority w:val="1"/>
    <w:pPr>
      <w:widowControl/>
      <w:jc w:val="left"/>
    </w:pPr>
    <w:rPr>
      <w:rFonts w:ascii="Calibri" w:hAnsi="Calibri"/>
      <w:kern w:val="0"/>
      <w:sz w:val="24"/>
      <w:szCs w:val="32"/>
    </w:rPr>
  </w:style>
  <w:style w:type="paragraph" w:customStyle="1" w:styleId="480">
    <w:name w:val="Char Char Char Char Char Char Char Char Char Char"/>
    <w:basedOn w:val="1"/>
    <w:qFormat/>
    <w:uiPriority w:val="0"/>
    <w:pPr>
      <w:snapToGrid w:val="0"/>
      <w:spacing w:line="360" w:lineRule="auto"/>
      <w:ind w:firstLine="529" w:firstLineChars="200"/>
    </w:pPr>
    <w:rPr>
      <w:rFonts w:ascii="宋体" w:hAnsi="宋体"/>
      <w:b/>
      <w:szCs w:val="20"/>
    </w:rPr>
  </w:style>
  <w:style w:type="paragraph" w:customStyle="1" w:styleId="481">
    <w:name w:val="_Style 178"/>
    <w:basedOn w:val="1"/>
    <w:next w:val="1"/>
    <w:qFormat/>
    <w:uiPriority w:val="0"/>
    <w:pPr>
      <w:spacing w:after="120" w:line="360" w:lineRule="auto"/>
      <w:ind w:left="420" w:leftChars="200" w:firstLine="420" w:firstLineChars="200"/>
    </w:pPr>
  </w:style>
  <w:style w:type="paragraph" w:customStyle="1" w:styleId="482">
    <w:name w:val="正文表标题"/>
    <w:next w:val="1"/>
    <w:qFormat/>
    <w:uiPriority w:val="0"/>
    <w:pPr>
      <w:spacing w:before="156" w:beforeLines="50" w:after="156" w:afterLines="50"/>
      <w:jc w:val="center"/>
    </w:pPr>
    <w:rPr>
      <w:rFonts w:ascii="Times New Roman" w:hAnsi="Times New Roman" w:eastAsia="黑体" w:cs="Times New Roman"/>
      <w:sz w:val="21"/>
      <w:lang w:val="en-US" w:eastAsia="zh-CN" w:bidi="ar-SA"/>
    </w:rPr>
  </w:style>
  <w:style w:type="paragraph" w:customStyle="1" w:styleId="483">
    <w:name w:val="三级无"/>
    <w:basedOn w:val="338"/>
    <w:qFormat/>
    <w:uiPriority w:val="0"/>
    <w:pPr>
      <w:spacing w:before="0" w:after="0"/>
    </w:pPr>
    <w:rPr>
      <w:rFonts w:ascii="宋体" w:eastAsia="宋体"/>
    </w:rPr>
  </w:style>
  <w:style w:type="paragraph" w:customStyle="1" w:styleId="484">
    <w:name w:val="已有表格"/>
    <w:basedOn w:val="1"/>
    <w:qFormat/>
    <w:uiPriority w:val="0"/>
    <w:pPr>
      <w:widowControl/>
      <w:adjustRightInd w:val="0"/>
      <w:spacing w:before="40" w:after="40"/>
      <w:jc w:val="center"/>
      <w:textAlignment w:val="baseline"/>
    </w:pPr>
    <w:rPr>
      <w:rFonts w:ascii="Calibri" w:hAnsi="Calibri"/>
      <w:b/>
      <w:kern w:val="0"/>
      <w:sz w:val="24"/>
      <w:szCs w:val="20"/>
    </w:rPr>
  </w:style>
  <w:style w:type="paragraph" w:customStyle="1" w:styleId="485">
    <w:name w:val="表头文字"/>
    <w:basedOn w:val="1"/>
    <w:qFormat/>
    <w:uiPriority w:val="0"/>
    <w:pPr>
      <w:spacing w:line="360" w:lineRule="auto"/>
      <w:ind w:firstLine="192" w:firstLineChars="200"/>
      <w:jc w:val="center"/>
    </w:pPr>
    <w:rPr>
      <w:rFonts w:ascii="Calibri" w:hAnsi="Calibri" w:cs="Calibri"/>
      <w:sz w:val="28"/>
      <w:szCs w:val="20"/>
    </w:rPr>
  </w:style>
  <w:style w:type="paragraph" w:customStyle="1" w:styleId="486">
    <w:name w:val="我的表格258"/>
    <w:basedOn w:val="1"/>
    <w:qFormat/>
    <w:uiPriority w:val="0"/>
    <w:pPr>
      <w:spacing w:line="380" w:lineRule="exact"/>
      <w:jc w:val="center"/>
    </w:pPr>
    <w:rPr>
      <w:color w:val="000000"/>
      <w:kern w:val="0"/>
      <w:szCs w:val="21"/>
    </w:rPr>
  </w:style>
  <w:style w:type="paragraph" w:customStyle="1" w:styleId="487">
    <w:name w:val="样式 列表 + 五号 非加粗"/>
    <w:basedOn w:val="28"/>
    <w:qFormat/>
    <w:uiPriority w:val="0"/>
    <w:pPr>
      <w:widowControl w:val="0"/>
      <w:spacing w:line="240" w:lineRule="auto"/>
      <w:ind w:left="200" w:hanging="200" w:hangingChars="200"/>
      <w:jc w:val="left"/>
    </w:pPr>
    <w:rPr>
      <w:rFonts w:ascii="Times New Roman"/>
      <w:sz w:val="21"/>
    </w:rPr>
  </w:style>
  <w:style w:type="paragraph" w:customStyle="1" w:styleId="488">
    <w:name w:val="正文首行缩近"/>
    <w:qFormat/>
    <w:uiPriority w:val="0"/>
    <w:pPr>
      <w:adjustRightInd w:val="0"/>
      <w:snapToGrid w:val="0"/>
      <w:spacing w:line="360" w:lineRule="auto"/>
      <w:ind w:firstLine="480" w:firstLineChars="200"/>
      <w:jc w:val="both"/>
    </w:pPr>
    <w:rPr>
      <w:rFonts w:ascii="Calibri" w:hAnsi="Calibri" w:eastAsia="宋体" w:cs="Times New Roman"/>
      <w:sz w:val="24"/>
      <w:szCs w:val="22"/>
      <w:lang w:val="en-US" w:eastAsia="zh-CN" w:bidi="ar-SA"/>
    </w:rPr>
  </w:style>
  <w:style w:type="table" w:customStyle="1" w:styleId="489">
    <w:name w:val="网格型4"/>
    <w:basedOn w:val="3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网格型21"/>
    <w:basedOn w:val="3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网格型111"/>
    <w:basedOn w:val="39"/>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网格型11"/>
    <w:basedOn w:val="3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网格型31"/>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网格型2"/>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网格型3"/>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网格型1"/>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网格型12"/>
    <w:basedOn w:val="39"/>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8">
    <w:name w:val="纯文本 Char1"/>
    <w:qFormat/>
    <w:uiPriority w:val="0"/>
    <w:rPr>
      <w:rFonts w:ascii="宋体" w:hAnsi="Courier New" w:eastAsia="宋体" w:cs="宋体"/>
      <w:kern w:val="2"/>
      <w:sz w:val="21"/>
      <w:szCs w:val="24"/>
      <w:lang w:val="en-US" w:eastAsia="zh-CN" w:bidi="ar-SA"/>
    </w:rPr>
  </w:style>
  <w:style w:type="character" w:customStyle="1" w:styleId="499">
    <w:name w:val="正文缩进 Char1"/>
    <w:qFormat/>
    <w:uiPriority w:val="0"/>
    <w:rPr>
      <w:kern w:val="2"/>
      <w:sz w:val="28"/>
      <w:szCs w:val="24"/>
    </w:rPr>
  </w:style>
  <w:style w:type="character" w:customStyle="1" w:styleId="500">
    <w:name w:val="页脚 Char1"/>
    <w:qFormat/>
    <w:uiPriority w:val="99"/>
    <w:rPr>
      <w:kern w:val="2"/>
      <w:sz w:val="18"/>
      <w:szCs w:val="18"/>
    </w:rPr>
  </w:style>
  <w:style w:type="table" w:customStyle="1" w:styleId="501">
    <w:name w:val="网格型5"/>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2">
    <w:name w:val="列出段落1"/>
    <w:basedOn w:val="1"/>
    <w:qFormat/>
    <w:uiPriority w:val="99"/>
    <w:pPr>
      <w:ind w:firstLine="420" w:firstLineChars="200"/>
    </w:pPr>
  </w:style>
  <w:style w:type="table" w:customStyle="1" w:styleId="503">
    <w:name w:val="网格型22"/>
    <w:basedOn w:val="3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网格型13"/>
    <w:basedOn w:val="39"/>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网格型32"/>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6">
    <w:name w:val="_Style 513"/>
    <w:basedOn w:val="18"/>
    <w:next w:val="1"/>
    <w:qFormat/>
    <w:uiPriority w:val="0"/>
    <w:pPr>
      <w:ind w:firstLine="420"/>
    </w:pPr>
    <w:rPr>
      <w:rFonts w:hAnsi="宋体" w:eastAsia="仿宋_GB2312"/>
      <w:kern w:val="2"/>
      <w:sz w:val="21"/>
      <w:szCs w:val="21"/>
    </w:rPr>
  </w:style>
  <w:style w:type="character" w:customStyle="1" w:styleId="507">
    <w:name w:val="样式 小四 Char"/>
    <w:link w:val="508"/>
    <w:qFormat/>
    <w:uiPriority w:val="0"/>
    <w:rPr>
      <w:sz w:val="28"/>
    </w:rPr>
  </w:style>
  <w:style w:type="paragraph" w:customStyle="1" w:styleId="508">
    <w:name w:val="样式 小四"/>
    <w:basedOn w:val="1"/>
    <w:next w:val="2"/>
    <w:link w:val="507"/>
    <w:qFormat/>
    <w:uiPriority w:val="0"/>
    <w:pPr>
      <w:tabs>
        <w:tab w:val="left" w:pos="2660"/>
      </w:tabs>
      <w:snapToGrid w:val="0"/>
      <w:spacing w:beforeLines="50" w:line="440" w:lineRule="exact"/>
    </w:pPr>
    <w:rPr>
      <w:kern w:val="0"/>
      <w:sz w:val="28"/>
      <w:szCs w:val="20"/>
    </w:rPr>
  </w:style>
  <w:style w:type="paragraph" w:customStyle="1" w:styleId="509">
    <w:name w:val="a正文"/>
    <w:basedOn w:val="1"/>
    <w:qFormat/>
    <w:uiPriority w:val="0"/>
    <w:pPr>
      <w:spacing w:line="360" w:lineRule="auto"/>
      <w:ind w:firstLine="200" w:firstLineChars="200"/>
    </w:pPr>
    <w:rPr>
      <w:sz w:val="24"/>
      <w:szCs w:val="28"/>
    </w:rPr>
  </w:style>
  <w:style w:type="paragraph" w:customStyle="1" w:styleId="510">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511">
    <w:name w:val="批注文字 字符2"/>
    <w:semiHidden/>
    <w:qFormat/>
    <w:uiPriority w:val="99"/>
    <w:rPr>
      <w:rFonts w:ascii="Times New Roman" w:hAnsi="Times New Roman" w:eastAsia="宋体" w:cs="Times New Roman"/>
      <w:szCs w:val="24"/>
    </w:rPr>
  </w:style>
  <w:style w:type="character" w:customStyle="1" w:styleId="512">
    <w:name w:val="批注主题 字符1"/>
    <w:semiHidden/>
    <w:qFormat/>
    <w:uiPriority w:val="99"/>
    <w:rPr>
      <w:rFonts w:ascii="Times New Roman" w:hAnsi="Times New Roman" w:eastAsia="宋体" w:cs="Times New Roman"/>
      <w:b/>
      <w:bCs/>
      <w:szCs w:val="24"/>
    </w:rPr>
  </w:style>
  <w:style w:type="character" w:customStyle="1" w:styleId="513">
    <w:name w:val="正文文本 字符2"/>
    <w:semiHidden/>
    <w:qFormat/>
    <w:uiPriority w:val="99"/>
    <w:rPr>
      <w:rFonts w:ascii="Times New Roman" w:hAnsi="Times New Roman" w:eastAsia="宋体" w:cs="Times New Roman"/>
      <w:szCs w:val="24"/>
    </w:rPr>
  </w:style>
  <w:style w:type="character" w:customStyle="1" w:styleId="514">
    <w:name w:val="日期 字符2"/>
    <w:semiHidden/>
    <w:qFormat/>
    <w:uiPriority w:val="99"/>
    <w:rPr>
      <w:rFonts w:ascii="Times New Roman" w:hAnsi="Times New Roman" w:eastAsia="宋体" w:cs="Times New Roman"/>
      <w:szCs w:val="24"/>
    </w:rPr>
  </w:style>
  <w:style w:type="character" w:customStyle="1" w:styleId="515">
    <w:name w:val="正文文本缩进 字符1"/>
    <w:semiHidden/>
    <w:qFormat/>
    <w:uiPriority w:val="99"/>
    <w:rPr>
      <w:rFonts w:ascii="Times New Roman" w:hAnsi="Times New Roman" w:eastAsia="宋体" w:cs="Times New Roman"/>
      <w:szCs w:val="24"/>
    </w:rPr>
  </w:style>
  <w:style w:type="character" w:customStyle="1" w:styleId="516">
    <w:name w:val="正文文本缩进 2 字符1"/>
    <w:qFormat/>
    <w:uiPriority w:val="99"/>
    <w:rPr>
      <w:szCs w:val="24"/>
    </w:rPr>
  </w:style>
  <w:style w:type="character" w:customStyle="1" w:styleId="517">
    <w:name w:val="纯文本 字符3"/>
    <w:qFormat/>
    <w:uiPriority w:val="0"/>
    <w:rPr>
      <w:rFonts w:ascii="宋体" w:hAnsi="Courier New"/>
      <w:szCs w:val="24"/>
    </w:rPr>
  </w:style>
  <w:style w:type="character" w:customStyle="1" w:styleId="518">
    <w:name w:val="明显引用 字符2"/>
    <w:qFormat/>
    <w:uiPriority w:val="30"/>
    <w:rPr>
      <w:b/>
      <w:i/>
      <w:sz w:val="24"/>
    </w:rPr>
  </w:style>
  <w:style w:type="character" w:customStyle="1" w:styleId="519">
    <w:name w:val="正文文本首行缩进 字符2"/>
    <w:qFormat/>
    <w:uiPriority w:val="0"/>
  </w:style>
  <w:style w:type="character" w:customStyle="1" w:styleId="520">
    <w:name w:val="注释标题 字符1"/>
    <w:qFormat/>
    <w:uiPriority w:val="0"/>
  </w:style>
  <w:style w:type="character" w:customStyle="1" w:styleId="521">
    <w:name w:val="正文缩进 字符1"/>
    <w:qFormat/>
    <w:uiPriority w:val="0"/>
    <w:rPr>
      <w:sz w:val="28"/>
      <w:szCs w:val="24"/>
    </w:rPr>
  </w:style>
  <w:style w:type="character" w:customStyle="1" w:styleId="522">
    <w:name w:val="副标题 字符3"/>
    <w:qFormat/>
    <w:uiPriority w:val="11"/>
    <w:rPr>
      <w:rFonts w:eastAsia="黑体" w:cs="Arial"/>
      <w:bCs/>
      <w:kern w:val="28"/>
      <w:sz w:val="24"/>
      <w:szCs w:val="32"/>
    </w:rPr>
  </w:style>
  <w:style w:type="character" w:customStyle="1" w:styleId="523">
    <w:name w:val="正文文本缩进 3 字符3"/>
    <w:qFormat/>
    <w:uiPriority w:val="0"/>
    <w:rPr>
      <w:sz w:val="16"/>
      <w:szCs w:val="16"/>
    </w:rPr>
  </w:style>
  <w:style w:type="character" w:customStyle="1" w:styleId="524">
    <w:name w:val="标题 9 字符2"/>
    <w:qFormat/>
    <w:uiPriority w:val="9"/>
    <w:rPr>
      <w:rFonts w:ascii="Arial" w:hAnsi="Arial" w:eastAsia="黑体" w:cs="Times New Roman"/>
      <w:szCs w:val="21"/>
    </w:rPr>
  </w:style>
  <w:style w:type="character" w:customStyle="1" w:styleId="525">
    <w:name w:val="标题 1 字符2"/>
    <w:qFormat/>
    <w:uiPriority w:val="0"/>
    <w:rPr>
      <w:rFonts w:ascii="Times New Roman" w:hAnsi="Times New Roman" w:eastAsia="宋体" w:cs="Times New Roman"/>
      <w:b/>
      <w:bCs/>
      <w:color w:val="000000"/>
      <w:kern w:val="44"/>
      <w:sz w:val="30"/>
      <w:szCs w:val="30"/>
    </w:rPr>
  </w:style>
  <w:style w:type="character" w:customStyle="1" w:styleId="526">
    <w:name w:val="正文文本 2 字符2"/>
    <w:qFormat/>
    <w:uiPriority w:val="0"/>
    <w:rPr>
      <w:rFonts w:ascii="仿宋_GB2312" w:eastAsia="仿宋_GB2312"/>
      <w:spacing w:val="-20"/>
      <w:sz w:val="32"/>
      <w:szCs w:val="24"/>
    </w:rPr>
  </w:style>
  <w:style w:type="character" w:customStyle="1" w:styleId="527">
    <w:name w:val="文档结构图 字符3"/>
    <w:qFormat/>
    <w:uiPriority w:val="0"/>
    <w:rPr>
      <w:szCs w:val="24"/>
      <w:shd w:val="clear" w:color="auto" w:fill="000080"/>
    </w:rPr>
  </w:style>
  <w:style w:type="character" w:customStyle="1" w:styleId="528">
    <w:name w:val="标题 2 字符1"/>
    <w:qFormat/>
    <w:uiPriority w:val="0"/>
    <w:rPr>
      <w:rFonts w:ascii="Times New Roman" w:hAnsi="Times New Roman" w:eastAsia="宋体" w:cs="Times New Roman"/>
      <w:b/>
      <w:sz w:val="28"/>
      <w:szCs w:val="28"/>
    </w:rPr>
  </w:style>
  <w:style w:type="character" w:customStyle="1" w:styleId="529">
    <w:name w:val="引用 字符2"/>
    <w:qFormat/>
    <w:uiPriority w:val="29"/>
    <w:rPr>
      <w:i/>
      <w:sz w:val="24"/>
      <w:szCs w:val="24"/>
    </w:rPr>
  </w:style>
  <w:style w:type="character" w:customStyle="1" w:styleId="530">
    <w:name w:val="HTML 预设格式 字符4"/>
    <w:qFormat/>
    <w:uiPriority w:val="99"/>
    <w:rPr>
      <w:rFonts w:ascii="Arial" w:hAnsi="Arial" w:cs="Arial"/>
      <w:sz w:val="24"/>
      <w:szCs w:val="24"/>
    </w:rPr>
  </w:style>
  <w:style w:type="character" w:customStyle="1" w:styleId="531">
    <w:name w:val="未处理的提及11"/>
    <w:unhideWhenUsed/>
    <w:qFormat/>
    <w:uiPriority w:val="99"/>
    <w:rPr>
      <w:rFonts w:ascii="宋体" w:hAnsi="宋体" w:cs="宋体"/>
      <w:color w:val="605E5C"/>
      <w:sz w:val="24"/>
      <w:shd w:val="clear" w:color="auto" w:fill="E1DFDD"/>
    </w:rPr>
  </w:style>
  <w:style w:type="character" w:customStyle="1" w:styleId="532">
    <w:name w:val="Char Char31"/>
    <w:qFormat/>
    <w:uiPriority w:val="0"/>
    <w:rPr>
      <w:rFonts w:ascii="宋体" w:hAnsi="Courier New" w:eastAsia="宋体" w:cs="Courier New"/>
      <w:kern w:val="2"/>
      <w:sz w:val="21"/>
      <w:szCs w:val="21"/>
      <w:lang w:val="en-US" w:eastAsia="zh-CN" w:bidi="ar-SA"/>
    </w:rPr>
  </w:style>
  <w:style w:type="character" w:customStyle="1" w:styleId="533">
    <w:name w:val="标题 字符2"/>
    <w:qFormat/>
    <w:uiPriority w:val="10"/>
    <w:rPr>
      <w:rFonts w:ascii="Cambria" w:hAnsi="Cambria"/>
      <w:b/>
      <w:bCs/>
      <w:kern w:val="28"/>
      <w:sz w:val="32"/>
      <w:szCs w:val="32"/>
    </w:rPr>
  </w:style>
  <w:style w:type="character" w:customStyle="1" w:styleId="534">
    <w:name w:val="标题 7 字符2"/>
    <w:qFormat/>
    <w:uiPriority w:val="9"/>
    <w:rPr>
      <w:rFonts w:ascii="宋体" w:hAnsi="Times New Roman" w:eastAsia="宋体" w:cs="Times New Roman"/>
      <w:b/>
      <w:bCs/>
      <w:sz w:val="28"/>
      <w:szCs w:val="24"/>
    </w:rPr>
  </w:style>
  <w:style w:type="character" w:customStyle="1" w:styleId="535">
    <w:name w:val="标题 6 字符2"/>
    <w:qFormat/>
    <w:uiPriority w:val="9"/>
    <w:rPr>
      <w:rFonts w:ascii="Arial" w:hAnsi="Arial" w:eastAsia="黑体" w:cs="Times New Roman"/>
      <w:b/>
      <w:bCs/>
      <w:sz w:val="28"/>
      <w:szCs w:val="24"/>
    </w:rPr>
  </w:style>
  <w:style w:type="character" w:customStyle="1" w:styleId="536">
    <w:name w:val="标题 8 字符2"/>
    <w:qFormat/>
    <w:uiPriority w:val="9"/>
    <w:rPr>
      <w:rFonts w:ascii="Arial" w:hAnsi="Arial" w:eastAsia="黑体" w:cs="Times New Roman"/>
      <w:sz w:val="28"/>
      <w:szCs w:val="24"/>
    </w:rPr>
  </w:style>
  <w:style w:type="character" w:customStyle="1" w:styleId="537">
    <w:name w:val="标题 4 字符2"/>
    <w:qFormat/>
    <w:uiPriority w:val="0"/>
    <w:rPr>
      <w:rFonts w:ascii="Times New Roman" w:hAnsi="Times New Roman" w:eastAsia="宋体" w:cs="Times New Roman"/>
      <w:szCs w:val="24"/>
    </w:rPr>
  </w:style>
  <w:style w:type="character" w:customStyle="1" w:styleId="538">
    <w:name w:val="标题 3 字符2"/>
    <w:qFormat/>
    <w:uiPriority w:val="0"/>
    <w:rPr>
      <w:rFonts w:ascii="Times New Roman" w:hAnsi="Times New Roman" w:eastAsia="宋体" w:cs="Times New Roman"/>
      <w:b/>
      <w:kern w:val="0"/>
      <w:sz w:val="24"/>
      <w:szCs w:val="20"/>
    </w:rPr>
  </w:style>
  <w:style w:type="character" w:customStyle="1" w:styleId="539">
    <w:name w:val="标题 5 字符2"/>
    <w:qFormat/>
    <w:uiPriority w:val="9"/>
    <w:rPr>
      <w:rFonts w:ascii="宋体" w:hAnsi="Times New Roman" w:eastAsia="宋体" w:cs="Times New Roman"/>
      <w:b/>
      <w:bCs/>
      <w:sz w:val="28"/>
      <w:szCs w:val="24"/>
    </w:rPr>
  </w:style>
  <w:style w:type="character" w:customStyle="1" w:styleId="540">
    <w:name w:val="正文文本 3 字符2"/>
    <w:qFormat/>
    <w:uiPriority w:val="0"/>
    <w:rPr>
      <w:b/>
      <w:bCs/>
      <w:sz w:val="28"/>
    </w:rPr>
  </w:style>
  <w:style w:type="paragraph" w:customStyle="1" w:styleId="541">
    <w:name w:val="Char Char Char Char Char1"/>
    <w:basedOn w:val="1"/>
    <w:next w:val="1"/>
    <w:qFormat/>
    <w:uiPriority w:val="0"/>
    <w:pPr>
      <w:spacing w:line="336" w:lineRule="auto"/>
      <w:ind w:firstLine="200" w:firstLineChars="200"/>
    </w:pPr>
    <w:rPr>
      <w:rFonts w:ascii="宋体" w:hAnsi="宋体" w:eastAsia="汉鼎简书宋" w:cs="宋体"/>
      <w:sz w:val="24"/>
    </w:rPr>
  </w:style>
  <w:style w:type="paragraph" w:customStyle="1" w:styleId="542">
    <w:name w:val="Char Char Char1 Char1"/>
    <w:basedOn w:val="1"/>
    <w:qFormat/>
    <w:uiPriority w:val="0"/>
    <w:pPr>
      <w:adjustRightInd w:val="0"/>
      <w:snapToGrid w:val="0"/>
      <w:ind w:left="-63" w:leftChars="-30" w:right="-63" w:rightChars="-30"/>
      <w:jc w:val="center"/>
    </w:pPr>
    <w:rPr>
      <w:rFonts w:eastAsia="仿宋_GB2312"/>
      <w:sz w:val="18"/>
      <w:szCs w:val="18"/>
    </w:rPr>
  </w:style>
  <w:style w:type="paragraph" w:customStyle="1" w:styleId="543">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4">
    <w:name w:val="Char Char Char1 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545">
    <w:name w:val="Char Char Char Char Char Char Char Char Char Char Char Char Char Char Char Char Char Char1 Char Char Char Char Char Char Char Char Char Char Char Char Char Char Char Char1"/>
    <w:basedOn w:val="1"/>
    <w:next w:val="1"/>
    <w:qFormat/>
    <w:uiPriority w:val="0"/>
    <w:pPr>
      <w:spacing w:line="360" w:lineRule="auto"/>
      <w:ind w:firstLine="200" w:firstLineChars="200"/>
    </w:pPr>
    <w:rPr>
      <w:rFonts w:ascii="宋体" w:hAnsi="宋体" w:cs="宋体"/>
      <w:snapToGrid w:val="0"/>
      <w:kern w:val="0"/>
      <w:sz w:val="24"/>
    </w:rPr>
  </w:style>
  <w:style w:type="paragraph" w:customStyle="1" w:styleId="546">
    <w:name w:val="Char Char Char Char Char Char1 Char Char Char Char Char Char Char Char Char Char Char Char Char1"/>
    <w:basedOn w:val="1"/>
    <w:qFormat/>
    <w:uiPriority w:val="0"/>
  </w:style>
  <w:style w:type="paragraph" w:customStyle="1" w:styleId="547">
    <w:name w:val="Char Char Char Char Char Char Char Char Char Char Char Char Char1"/>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548">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cs="宋体"/>
      <w:sz w:val="24"/>
    </w:rPr>
  </w:style>
  <w:style w:type="paragraph" w:customStyle="1" w:styleId="549">
    <w:name w:val="UserStyle_0"/>
    <w:basedOn w:val="1"/>
    <w:qFormat/>
    <w:uiPriority w:val="0"/>
    <w:pPr>
      <w:jc w:val="left"/>
      <w:textAlignment w:val="baseline"/>
    </w:pPr>
    <w:rPr>
      <w:rFonts w:ascii="宋体"/>
      <w:color w:val="000000"/>
      <w:kern w:val="0"/>
      <w:sz w:val="24"/>
    </w:rPr>
  </w:style>
  <w:style w:type="paragraph" w:customStyle="1" w:styleId="550">
    <w:name w:val="正文1.5"/>
    <w:basedOn w:val="1"/>
    <w:next w:val="1"/>
    <w:qFormat/>
    <w:uiPriority w:val="0"/>
    <w:pPr>
      <w:spacing w:line="360" w:lineRule="auto"/>
      <w:ind w:firstLine="720" w:firstLineChars="200"/>
    </w:pPr>
    <w:rPr>
      <w:rFonts w:ascii="Calibri" w:hAnsi="Calibri"/>
    </w:rPr>
  </w:style>
  <w:style w:type="character" w:customStyle="1" w:styleId="551">
    <w:name w:val="污水 Char"/>
    <w:link w:val="552"/>
    <w:qFormat/>
    <w:uiPriority w:val="0"/>
  </w:style>
  <w:style w:type="paragraph" w:customStyle="1" w:styleId="552">
    <w:name w:val="污水"/>
    <w:basedOn w:val="1"/>
    <w:link w:val="551"/>
    <w:qFormat/>
    <w:uiPriority w:val="0"/>
    <w:pPr>
      <w:spacing w:line="360" w:lineRule="auto"/>
      <w:ind w:firstLine="720" w:firstLineChars="200"/>
    </w:pPr>
    <w:rPr>
      <w:kern w:val="0"/>
      <w:sz w:val="20"/>
      <w:szCs w:val="20"/>
    </w:rPr>
  </w:style>
  <w:style w:type="character" w:customStyle="1" w:styleId="553">
    <w:name w:val="正文文本缩进 2 字符2"/>
    <w:qFormat/>
    <w:uiPriority w:val="99"/>
    <w:rPr>
      <w:szCs w:val="24"/>
    </w:rPr>
  </w:style>
  <w:style w:type="character" w:customStyle="1" w:styleId="554">
    <w:name w:val="纯文本 字符4"/>
    <w:qFormat/>
    <w:uiPriority w:val="0"/>
    <w:rPr>
      <w:rFonts w:ascii="宋体" w:hAnsi="Courier New"/>
      <w:szCs w:val="24"/>
    </w:rPr>
  </w:style>
  <w:style w:type="character" w:customStyle="1" w:styleId="555">
    <w:name w:val="明显引用 字符3"/>
    <w:qFormat/>
    <w:uiPriority w:val="30"/>
    <w:rPr>
      <w:b/>
      <w:i/>
      <w:sz w:val="24"/>
    </w:rPr>
  </w:style>
  <w:style w:type="character" w:customStyle="1" w:styleId="556">
    <w:name w:val="正文文本首行缩进 字符3"/>
    <w:qFormat/>
    <w:uiPriority w:val="0"/>
  </w:style>
  <w:style w:type="character" w:customStyle="1" w:styleId="557">
    <w:name w:val="注释标题 字符2"/>
    <w:qFormat/>
    <w:uiPriority w:val="0"/>
  </w:style>
  <w:style w:type="character" w:customStyle="1" w:styleId="558">
    <w:name w:val="正文缩进 字符2"/>
    <w:qFormat/>
    <w:uiPriority w:val="0"/>
    <w:rPr>
      <w:sz w:val="28"/>
      <w:szCs w:val="24"/>
    </w:rPr>
  </w:style>
  <w:style w:type="character" w:customStyle="1" w:styleId="559">
    <w:name w:val="副标题 字符4"/>
    <w:qFormat/>
    <w:uiPriority w:val="11"/>
    <w:rPr>
      <w:rFonts w:eastAsia="黑体" w:cs="Arial"/>
      <w:bCs/>
      <w:kern w:val="28"/>
      <w:sz w:val="24"/>
      <w:szCs w:val="32"/>
    </w:rPr>
  </w:style>
  <w:style w:type="character" w:customStyle="1" w:styleId="560">
    <w:name w:val="正文文本缩进 3 字符4"/>
    <w:qFormat/>
    <w:uiPriority w:val="0"/>
    <w:rPr>
      <w:sz w:val="16"/>
      <w:szCs w:val="16"/>
    </w:rPr>
  </w:style>
  <w:style w:type="character" w:customStyle="1" w:styleId="561">
    <w:name w:val="标题 9 字符3"/>
    <w:qFormat/>
    <w:uiPriority w:val="9"/>
    <w:rPr>
      <w:rFonts w:ascii="Arial" w:hAnsi="Arial" w:eastAsia="黑体" w:cs="Times New Roman"/>
      <w:szCs w:val="21"/>
    </w:rPr>
  </w:style>
  <w:style w:type="character" w:customStyle="1" w:styleId="562">
    <w:name w:val="标题 1 字符3"/>
    <w:qFormat/>
    <w:uiPriority w:val="0"/>
    <w:rPr>
      <w:rFonts w:ascii="Times New Roman" w:hAnsi="Times New Roman" w:eastAsia="黑体" w:cs="Times New Roman"/>
      <w:b/>
      <w:bCs/>
      <w:color w:val="000000"/>
      <w:kern w:val="44"/>
      <w:sz w:val="30"/>
      <w:szCs w:val="30"/>
    </w:rPr>
  </w:style>
  <w:style w:type="character" w:customStyle="1" w:styleId="563">
    <w:name w:val="正文文本 2 字符3"/>
    <w:qFormat/>
    <w:uiPriority w:val="0"/>
    <w:rPr>
      <w:rFonts w:ascii="仿宋_GB2312" w:eastAsia="仿宋_GB2312"/>
      <w:spacing w:val="-20"/>
      <w:sz w:val="32"/>
      <w:szCs w:val="24"/>
    </w:rPr>
  </w:style>
  <w:style w:type="character" w:customStyle="1" w:styleId="564">
    <w:name w:val="文档结构图 字符4"/>
    <w:qFormat/>
    <w:uiPriority w:val="0"/>
    <w:rPr>
      <w:szCs w:val="24"/>
      <w:shd w:val="clear" w:color="auto" w:fill="000080"/>
    </w:rPr>
  </w:style>
  <w:style w:type="character" w:customStyle="1" w:styleId="565">
    <w:name w:val="标题 2 字符2"/>
    <w:qFormat/>
    <w:uiPriority w:val="0"/>
    <w:rPr>
      <w:rFonts w:ascii="Times New Roman" w:hAnsi="Times New Roman" w:eastAsia="黑体" w:cs="Times New Roman"/>
      <w:sz w:val="28"/>
      <w:szCs w:val="28"/>
    </w:rPr>
  </w:style>
  <w:style w:type="character" w:customStyle="1" w:styleId="566">
    <w:name w:val="引用 字符3"/>
    <w:qFormat/>
    <w:uiPriority w:val="29"/>
    <w:rPr>
      <w:i/>
      <w:sz w:val="24"/>
      <w:szCs w:val="24"/>
    </w:rPr>
  </w:style>
  <w:style w:type="character" w:customStyle="1" w:styleId="567">
    <w:name w:val="HTML 预设格式 字符5"/>
    <w:qFormat/>
    <w:uiPriority w:val="99"/>
    <w:rPr>
      <w:rFonts w:ascii="Arial" w:hAnsi="Arial" w:cs="Arial"/>
      <w:sz w:val="24"/>
      <w:szCs w:val="24"/>
    </w:rPr>
  </w:style>
  <w:style w:type="character" w:customStyle="1" w:styleId="568">
    <w:name w:val="标题 字符3"/>
    <w:qFormat/>
    <w:uiPriority w:val="10"/>
    <w:rPr>
      <w:rFonts w:ascii="Cambria" w:hAnsi="Cambria"/>
      <w:b/>
      <w:bCs/>
      <w:kern w:val="28"/>
      <w:sz w:val="32"/>
      <w:szCs w:val="32"/>
    </w:rPr>
  </w:style>
  <w:style w:type="character" w:customStyle="1" w:styleId="569">
    <w:name w:val="标题 7 字符3"/>
    <w:qFormat/>
    <w:uiPriority w:val="9"/>
    <w:rPr>
      <w:rFonts w:ascii="宋体" w:hAnsi="Times New Roman" w:eastAsia="宋体" w:cs="Times New Roman"/>
      <w:b/>
      <w:bCs/>
      <w:sz w:val="28"/>
      <w:szCs w:val="24"/>
    </w:rPr>
  </w:style>
  <w:style w:type="character" w:customStyle="1" w:styleId="570">
    <w:name w:val="标题 6 字符3"/>
    <w:qFormat/>
    <w:uiPriority w:val="9"/>
    <w:rPr>
      <w:rFonts w:ascii="Arial" w:hAnsi="Arial" w:eastAsia="黑体" w:cs="Times New Roman"/>
      <w:b/>
      <w:bCs/>
      <w:sz w:val="28"/>
      <w:szCs w:val="24"/>
    </w:rPr>
  </w:style>
  <w:style w:type="character" w:customStyle="1" w:styleId="571">
    <w:name w:val="标题 8 字符3"/>
    <w:qFormat/>
    <w:uiPriority w:val="9"/>
    <w:rPr>
      <w:rFonts w:ascii="Arial" w:hAnsi="Arial" w:eastAsia="黑体" w:cs="Times New Roman"/>
      <w:sz w:val="28"/>
      <w:szCs w:val="24"/>
    </w:rPr>
  </w:style>
  <w:style w:type="character" w:customStyle="1" w:styleId="572">
    <w:name w:val="标题 4 字符3"/>
    <w:qFormat/>
    <w:uiPriority w:val="0"/>
    <w:rPr>
      <w:rFonts w:ascii="Times New Roman" w:hAnsi="Times New Roman" w:eastAsia="宋体" w:cs="Times New Roman"/>
      <w:szCs w:val="24"/>
    </w:rPr>
  </w:style>
  <w:style w:type="character" w:customStyle="1" w:styleId="573">
    <w:name w:val="标题 3 字符3"/>
    <w:qFormat/>
    <w:uiPriority w:val="0"/>
    <w:rPr>
      <w:rFonts w:ascii="Times New Roman" w:hAnsi="Times New Roman" w:eastAsia="黑体" w:cs="Times New Roman"/>
      <w:b/>
      <w:kern w:val="0"/>
      <w:sz w:val="30"/>
      <w:szCs w:val="20"/>
    </w:rPr>
  </w:style>
  <w:style w:type="character" w:customStyle="1" w:styleId="574">
    <w:name w:val="标题 5 字符3"/>
    <w:qFormat/>
    <w:uiPriority w:val="9"/>
    <w:rPr>
      <w:rFonts w:ascii="宋体" w:hAnsi="Times New Roman" w:eastAsia="宋体" w:cs="Times New Roman"/>
      <w:b/>
      <w:bCs/>
      <w:sz w:val="28"/>
      <w:szCs w:val="24"/>
    </w:rPr>
  </w:style>
  <w:style w:type="character" w:customStyle="1" w:styleId="575">
    <w:name w:val="正文文本 3 字符3"/>
    <w:qFormat/>
    <w:uiPriority w:val="0"/>
    <w:rPr>
      <w:b/>
      <w:bCs/>
      <w:sz w:val="28"/>
    </w:rPr>
  </w:style>
  <w:style w:type="paragraph" w:customStyle="1" w:styleId="576">
    <w:name w:val="列表段落1"/>
    <w:qFormat/>
    <w:uiPriority w:val="0"/>
    <w:pPr>
      <w:widowControl w:val="0"/>
      <w:ind w:firstLine="420"/>
      <w:jc w:val="both"/>
    </w:pPr>
    <w:rPr>
      <w:rFonts w:ascii="Calibri" w:hAnsi="Calibri" w:eastAsia="Times New Roman" w:cs="Calibri"/>
      <w:color w:val="000000"/>
      <w:kern w:val="2"/>
      <w:sz w:val="21"/>
      <w:szCs w:val="21"/>
      <w:u w:color="000000"/>
      <w:lang w:val="en-US" w:eastAsia="zh-CN" w:bidi="ar-SA"/>
    </w:rPr>
  </w:style>
  <w:style w:type="character" w:customStyle="1" w:styleId="577">
    <w:name w:val="0005 Char"/>
    <w:link w:val="578"/>
    <w:qFormat/>
    <w:uiPriority w:val="0"/>
    <w:rPr>
      <w:snapToGrid/>
      <w:sz w:val="24"/>
    </w:rPr>
  </w:style>
  <w:style w:type="paragraph" w:customStyle="1" w:styleId="578">
    <w:name w:val="0005"/>
    <w:basedOn w:val="1"/>
    <w:link w:val="577"/>
    <w:qFormat/>
    <w:uiPriority w:val="0"/>
    <w:pPr>
      <w:adjustRightInd w:val="0"/>
      <w:snapToGrid w:val="0"/>
      <w:spacing w:line="360" w:lineRule="auto"/>
      <w:ind w:firstLine="764" w:firstLineChars="200"/>
    </w:pPr>
    <w:rPr>
      <w:snapToGrid w:val="0"/>
      <w:kern w:val="0"/>
      <w:sz w:val="24"/>
      <w:szCs w:val="20"/>
    </w:rPr>
  </w:style>
  <w:style w:type="table" w:customStyle="1" w:styleId="579">
    <w:name w:val="Table Normal1"/>
    <w:basedOn w:val="39"/>
    <w:qFormat/>
    <w:uiPriority w:val="0"/>
    <w:rPr>
      <w:rFonts w:eastAsia="Times New Roman"/>
    </w:rPr>
    <w:tblPr>
      <w:tblCellMar>
        <w:left w:w="0" w:type="dxa"/>
        <w:right w:w="0" w:type="dxa"/>
      </w:tblCellMar>
    </w:tblPr>
  </w:style>
  <w:style w:type="paragraph" w:customStyle="1" w:styleId="580">
    <w:name w:val="Table Text"/>
    <w:basedOn w:val="1"/>
    <w:semiHidden/>
    <w:qFormat/>
    <w:uiPriority w:val="0"/>
    <w:rPr>
      <w:rFonts w:ascii="宋体" w:hAnsi="宋体" w:cs="宋体"/>
      <w:sz w:val="24"/>
      <w:lang w:eastAsia="en-US"/>
    </w:rPr>
  </w:style>
  <w:style w:type="character" w:customStyle="1" w:styleId="581">
    <w:name w:val="font21"/>
    <w:basedOn w:val="41"/>
    <w:qFormat/>
    <w:uiPriority w:val="0"/>
    <w:rPr>
      <w:rFonts w:hint="eastAsia" w:ascii="宋体" w:hAnsi="宋体" w:eastAsia="宋体"/>
      <w:color w:val="000000"/>
      <w:sz w:val="28"/>
      <w:szCs w:val="28"/>
      <w:u w:val="none"/>
    </w:rPr>
  </w:style>
  <w:style w:type="paragraph" w:customStyle="1" w:styleId="58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83">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584">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58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586">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1.bin"/><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77CD6-4376-4DE4-BA1E-EE49BFDE5F98}">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74</Pages>
  <Words>38956</Words>
  <Characters>44645</Characters>
  <Lines>346</Lines>
  <Paragraphs>97</Paragraphs>
  <TotalTime>4</TotalTime>
  <ScaleCrop>false</ScaleCrop>
  <LinksUpToDate>false</LinksUpToDate>
  <CharactersWithSpaces>44924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2024-08-23T07:30:00Z</dcterms:created>
  <dc:creator>lhj</dc:creator>
  <cp:lastModifiedBy>雷丽平</cp:lastModifiedBy>
  <cp:lastPrinted>2024-10-11T06:48:00Z</cp:lastPrinted>
  <dcterms:modified xsi:type="dcterms:W3CDTF">2024-10-13T04:00:21Z</dcterms:modified>
  <dc:title>附件2</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92755CC8E457471B8C75092F5F63CCF2_12</vt:lpwstr>
  </property>
</Properties>
</file>